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C15" w:rsidRPr="00226DD3" w:rsidRDefault="00840C15" w:rsidP="00226DD3">
      <w:pPr>
        <w:spacing w:line="480" w:lineRule="auto"/>
        <w:rPr>
          <w:rFonts w:ascii="Times New Roman" w:hAnsi="Times New Roman" w:cs="Times New Roman"/>
          <w:sz w:val="24"/>
          <w:szCs w:val="24"/>
        </w:rPr>
      </w:pPr>
    </w:p>
    <w:p w:rsidR="00A0753A" w:rsidRPr="00226DD3" w:rsidRDefault="00A0753A" w:rsidP="00A62DC1">
      <w:pPr>
        <w:spacing w:line="480" w:lineRule="auto"/>
        <w:rPr>
          <w:rFonts w:ascii="Times New Roman" w:hAnsi="Times New Roman" w:cs="Times New Roman"/>
          <w:sz w:val="24"/>
          <w:szCs w:val="24"/>
        </w:rPr>
      </w:pPr>
    </w:p>
    <w:p w:rsidR="00840C15" w:rsidRPr="00A62DC1" w:rsidRDefault="00840C15" w:rsidP="00A62DC1">
      <w:pPr>
        <w:spacing w:line="480" w:lineRule="auto"/>
        <w:jc w:val="center"/>
        <w:rPr>
          <w:rFonts w:ascii="Times New Roman" w:hAnsi="Times New Roman" w:cs="Times New Roman"/>
          <w:b/>
          <w:sz w:val="24"/>
          <w:szCs w:val="24"/>
        </w:rPr>
      </w:pPr>
      <w:r w:rsidRPr="00A62DC1">
        <w:rPr>
          <w:rFonts w:ascii="Times New Roman" w:hAnsi="Times New Roman" w:cs="Times New Roman"/>
          <w:b/>
          <w:sz w:val="24"/>
          <w:szCs w:val="24"/>
        </w:rPr>
        <w:t>Data Visualization</w:t>
      </w:r>
    </w:p>
    <w:p w:rsidR="00A62DC1" w:rsidRDefault="00A62DC1" w:rsidP="00A62DC1">
      <w:pPr>
        <w:spacing w:line="480" w:lineRule="auto"/>
        <w:jc w:val="center"/>
        <w:rPr>
          <w:rFonts w:ascii="Times New Roman" w:hAnsi="Times New Roman" w:cs="Times New Roman"/>
          <w:sz w:val="24"/>
          <w:szCs w:val="24"/>
        </w:rPr>
      </w:pPr>
    </w:p>
    <w:p w:rsidR="00A62DC1" w:rsidRDefault="00A62DC1" w:rsidP="00A62DC1">
      <w:pPr>
        <w:spacing w:line="480" w:lineRule="auto"/>
        <w:jc w:val="center"/>
        <w:rPr>
          <w:rFonts w:ascii="Times New Roman" w:hAnsi="Times New Roman" w:cs="Times New Roman"/>
          <w:sz w:val="24"/>
          <w:szCs w:val="24"/>
        </w:rPr>
      </w:pPr>
    </w:p>
    <w:p w:rsidR="00A62DC1" w:rsidRPr="00226DD3" w:rsidRDefault="00A62DC1" w:rsidP="00A62DC1">
      <w:pPr>
        <w:spacing w:line="480" w:lineRule="auto"/>
        <w:jc w:val="center"/>
        <w:rPr>
          <w:rFonts w:ascii="Times New Roman" w:hAnsi="Times New Roman" w:cs="Times New Roman"/>
          <w:sz w:val="24"/>
          <w:szCs w:val="24"/>
        </w:rPr>
      </w:pPr>
    </w:p>
    <w:p w:rsidR="00A0753A" w:rsidRPr="00226DD3" w:rsidRDefault="00A0753A" w:rsidP="00A62DC1">
      <w:pPr>
        <w:spacing w:line="480" w:lineRule="auto"/>
        <w:jc w:val="center"/>
        <w:rPr>
          <w:rFonts w:ascii="Times New Roman" w:hAnsi="Times New Roman" w:cs="Times New Roman"/>
          <w:sz w:val="24"/>
          <w:szCs w:val="24"/>
        </w:rPr>
      </w:pPr>
      <w:r w:rsidRPr="00226DD3">
        <w:rPr>
          <w:rFonts w:ascii="Times New Roman" w:hAnsi="Times New Roman" w:cs="Times New Roman"/>
          <w:sz w:val="24"/>
          <w:szCs w:val="24"/>
        </w:rPr>
        <w:t>Student Name</w:t>
      </w:r>
    </w:p>
    <w:p w:rsidR="00A0753A" w:rsidRDefault="00A62DC1" w:rsidP="00A62DC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of </w:t>
      </w:r>
      <w:r w:rsidR="00A0753A" w:rsidRPr="00226DD3">
        <w:rPr>
          <w:rFonts w:ascii="Times New Roman" w:hAnsi="Times New Roman" w:cs="Times New Roman"/>
          <w:sz w:val="24"/>
          <w:szCs w:val="24"/>
        </w:rPr>
        <w:t>Affiliation</w:t>
      </w:r>
    </w:p>
    <w:p w:rsidR="00A62DC1" w:rsidRDefault="00A62DC1" w:rsidP="00A62DC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62DC1" w:rsidRDefault="00A62DC1" w:rsidP="00A62DC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62DC1" w:rsidRPr="00226DD3" w:rsidRDefault="00A62DC1" w:rsidP="00A62DC1">
      <w:pPr>
        <w:spacing w:line="480" w:lineRule="auto"/>
        <w:jc w:val="center"/>
        <w:rPr>
          <w:rFonts w:ascii="Times New Roman" w:hAnsi="Times New Roman" w:cs="Times New Roman"/>
          <w:sz w:val="24"/>
          <w:szCs w:val="24"/>
        </w:rPr>
      </w:pPr>
    </w:p>
    <w:p w:rsidR="00A0753A" w:rsidRPr="00226DD3" w:rsidRDefault="00A0753A" w:rsidP="00226DD3">
      <w:pPr>
        <w:spacing w:line="480" w:lineRule="auto"/>
        <w:rPr>
          <w:rFonts w:ascii="Times New Roman" w:hAnsi="Times New Roman" w:cs="Times New Roman"/>
          <w:sz w:val="24"/>
          <w:szCs w:val="24"/>
        </w:rPr>
      </w:pPr>
    </w:p>
    <w:p w:rsidR="00A62DC1" w:rsidRDefault="00840C15" w:rsidP="00226DD3">
      <w:pPr>
        <w:spacing w:line="480" w:lineRule="auto"/>
        <w:rPr>
          <w:rFonts w:ascii="Times New Roman" w:hAnsi="Times New Roman" w:cs="Times New Roman"/>
          <w:sz w:val="24"/>
          <w:szCs w:val="24"/>
        </w:rPr>
      </w:pPr>
      <w:r w:rsidRPr="00226DD3">
        <w:rPr>
          <w:rFonts w:ascii="Times New Roman" w:hAnsi="Times New Roman" w:cs="Times New Roman"/>
          <w:sz w:val="24"/>
          <w:szCs w:val="24"/>
        </w:rPr>
        <w:br w:type="page"/>
      </w:r>
    </w:p>
    <w:p w:rsidR="00A62DC1" w:rsidRPr="00A62DC1" w:rsidRDefault="00A62DC1" w:rsidP="00A62DC1">
      <w:pPr>
        <w:spacing w:line="480" w:lineRule="auto"/>
        <w:jc w:val="center"/>
        <w:rPr>
          <w:rFonts w:ascii="Times New Roman" w:hAnsi="Times New Roman" w:cs="Times New Roman"/>
          <w:b/>
          <w:sz w:val="24"/>
          <w:szCs w:val="24"/>
        </w:rPr>
      </w:pPr>
      <w:r w:rsidRPr="00A62DC1">
        <w:rPr>
          <w:rFonts w:ascii="Times New Roman" w:hAnsi="Times New Roman" w:cs="Times New Roman"/>
          <w:b/>
          <w:sz w:val="24"/>
          <w:szCs w:val="24"/>
        </w:rPr>
        <w:lastRenderedPageBreak/>
        <w:t>Data Visualization</w:t>
      </w:r>
    </w:p>
    <w:p w:rsidR="00EB3267" w:rsidRPr="00226DD3" w:rsidRDefault="00226DD3" w:rsidP="00A62DC1">
      <w:pPr>
        <w:spacing w:line="480" w:lineRule="auto"/>
        <w:ind w:firstLine="720"/>
        <w:rPr>
          <w:rFonts w:ascii="Times New Roman" w:hAnsi="Times New Roman" w:cs="Times New Roman"/>
          <w:sz w:val="24"/>
          <w:szCs w:val="24"/>
        </w:rPr>
      </w:pPr>
      <w:r w:rsidRPr="00226DD3">
        <w:rPr>
          <w:rFonts w:ascii="Times New Roman" w:hAnsi="Times New Roman" w:cs="Times New Roman"/>
          <w:sz w:val="24"/>
          <w:szCs w:val="24"/>
        </w:rPr>
        <w:t xml:space="preserve">Data Visualization is a process of converting data into graphical representation such as a chart, graphs, maps, and other graphics for easy interpretation and analysis (Wilke, 2019, p.2).  The information or data is converted into an accurate graphical representation such as Bar charts. </w:t>
      </w:r>
      <w:r w:rsidR="00684D1A" w:rsidRPr="00226DD3">
        <w:rPr>
          <w:rFonts w:ascii="Times New Roman" w:hAnsi="Times New Roman" w:cs="Times New Roman"/>
          <w:noProof/>
          <w:sz w:val="24"/>
          <w:szCs w:val="24"/>
        </w:rPr>
        <w:drawing>
          <wp:inline distT="0" distB="0" distL="0" distR="0" wp14:anchorId="4B44A8D1" wp14:editId="5F0C013F">
            <wp:extent cx="5943600" cy="4317365"/>
            <wp:effectExtent l="0" t="0" r="0" b="69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C724F" w:rsidRPr="00226DD3" w:rsidRDefault="00A0753A" w:rsidP="00A62DC1">
      <w:pPr>
        <w:spacing w:line="480" w:lineRule="auto"/>
        <w:ind w:firstLine="720"/>
        <w:rPr>
          <w:rFonts w:ascii="Times New Roman" w:hAnsi="Times New Roman" w:cs="Times New Roman"/>
          <w:sz w:val="24"/>
          <w:szCs w:val="24"/>
        </w:rPr>
      </w:pPr>
      <w:r w:rsidRPr="00226DD3">
        <w:rPr>
          <w:rFonts w:ascii="Times New Roman" w:hAnsi="Times New Roman" w:cs="Times New Roman"/>
          <w:sz w:val="24"/>
          <w:szCs w:val="24"/>
        </w:rPr>
        <w:t>The graphical information shows the sales for all retailers, for X2013US and X2013world against the amount. The information shows the retailer with the highest sales and lowest in a visual representation. The information is interesting as it shows each retailer sales performance bot in the US and across the world. The information shows the individual sale performance of each retailer. The information can be filtered to show those with rewards and those without.</w:t>
      </w:r>
    </w:p>
    <w:p w:rsidR="00EC724F" w:rsidRPr="00226DD3" w:rsidRDefault="00EC724F" w:rsidP="00226DD3">
      <w:pPr>
        <w:spacing w:line="480" w:lineRule="auto"/>
        <w:rPr>
          <w:rFonts w:ascii="Times New Roman" w:hAnsi="Times New Roman" w:cs="Times New Roman"/>
          <w:sz w:val="24"/>
          <w:szCs w:val="24"/>
        </w:rPr>
      </w:pPr>
      <w:r w:rsidRPr="00226DD3">
        <w:rPr>
          <w:rFonts w:ascii="Times New Roman" w:hAnsi="Times New Roman" w:cs="Times New Roman"/>
          <w:noProof/>
          <w:sz w:val="24"/>
          <w:szCs w:val="24"/>
        </w:rPr>
        <w:lastRenderedPageBreak/>
        <w:drawing>
          <wp:inline distT="0" distB="0" distL="0" distR="0" wp14:anchorId="3B785FA3" wp14:editId="752FF486">
            <wp:extent cx="5943600" cy="4317365"/>
            <wp:effectExtent l="0" t="0" r="0" b="698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C7FA7" w:rsidRPr="00226DD3" w:rsidRDefault="00EC7FA7" w:rsidP="00A62DC1">
      <w:pPr>
        <w:spacing w:line="480" w:lineRule="auto"/>
        <w:ind w:firstLine="720"/>
        <w:rPr>
          <w:rFonts w:ascii="Times New Roman" w:hAnsi="Times New Roman" w:cs="Times New Roman"/>
          <w:sz w:val="24"/>
          <w:szCs w:val="24"/>
        </w:rPr>
      </w:pPr>
      <w:r w:rsidRPr="00226DD3">
        <w:rPr>
          <w:rFonts w:ascii="Times New Roman" w:hAnsi="Times New Roman" w:cs="Times New Roman"/>
          <w:sz w:val="24"/>
          <w:szCs w:val="24"/>
        </w:rPr>
        <w:t xml:space="preserve">The graph shows the profit for each retailer against the amount. The information gives a visual representation of all the retailers and the profit. </w:t>
      </w:r>
      <w:r w:rsidR="00684D1A" w:rsidRPr="00226DD3">
        <w:rPr>
          <w:rFonts w:ascii="Times New Roman" w:hAnsi="Times New Roman" w:cs="Times New Roman"/>
          <w:sz w:val="24"/>
          <w:szCs w:val="24"/>
        </w:rPr>
        <w:t xml:space="preserve">The information will show each company performance in terms of profit revenue. The information is essential as its shows retailer profit performance. </w:t>
      </w:r>
      <w:r w:rsidR="00BB5F03">
        <w:rPr>
          <w:rFonts w:ascii="Times New Roman" w:hAnsi="Times New Roman" w:cs="Times New Roman"/>
          <w:sz w:val="24"/>
          <w:szCs w:val="24"/>
        </w:rPr>
        <w:t xml:space="preserve">The data selection for retailers’ profit is important in analyzing as its show performance of each retailer in terms of profit. </w:t>
      </w:r>
    </w:p>
    <w:p w:rsidR="00840C15" w:rsidRPr="00226DD3" w:rsidRDefault="00840C15" w:rsidP="00226DD3">
      <w:pPr>
        <w:spacing w:line="480" w:lineRule="auto"/>
        <w:rPr>
          <w:rFonts w:ascii="Times New Roman" w:hAnsi="Times New Roman" w:cs="Times New Roman"/>
          <w:sz w:val="24"/>
          <w:szCs w:val="24"/>
        </w:rPr>
      </w:pPr>
      <w:r w:rsidRPr="00226DD3">
        <w:rPr>
          <w:rFonts w:ascii="Times New Roman" w:hAnsi="Times New Roman" w:cs="Times New Roman"/>
          <w:noProof/>
          <w:sz w:val="24"/>
          <w:szCs w:val="24"/>
        </w:rPr>
        <w:lastRenderedPageBreak/>
        <w:drawing>
          <wp:inline distT="0" distB="0" distL="0" distR="0" wp14:anchorId="1791512D" wp14:editId="5A69791D">
            <wp:extent cx="5943600" cy="4317365"/>
            <wp:effectExtent l="0" t="0" r="0" b="698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83018" w:rsidRPr="00226DD3" w:rsidRDefault="00F83018" w:rsidP="00A62DC1">
      <w:pPr>
        <w:spacing w:line="480" w:lineRule="auto"/>
        <w:ind w:firstLine="720"/>
        <w:rPr>
          <w:rFonts w:ascii="Times New Roman" w:hAnsi="Times New Roman" w:cs="Times New Roman"/>
          <w:sz w:val="24"/>
          <w:szCs w:val="24"/>
        </w:rPr>
      </w:pPr>
      <w:r w:rsidRPr="00226DD3">
        <w:rPr>
          <w:rFonts w:ascii="Times New Roman" w:hAnsi="Times New Roman" w:cs="Times New Roman"/>
          <w:sz w:val="24"/>
          <w:szCs w:val="24"/>
        </w:rPr>
        <w:t xml:space="preserve">The graphical information shows each retailer sales against their rank. The information gives graphical representation of </w:t>
      </w:r>
      <w:r w:rsidR="00305E1C" w:rsidRPr="00226DD3">
        <w:rPr>
          <w:rFonts w:ascii="Times New Roman" w:hAnsi="Times New Roman" w:cs="Times New Roman"/>
          <w:sz w:val="24"/>
          <w:szCs w:val="24"/>
        </w:rPr>
        <w:t>retailers</w:t>
      </w:r>
      <w:r w:rsidRPr="00226DD3">
        <w:rPr>
          <w:rFonts w:ascii="Times New Roman" w:hAnsi="Times New Roman" w:cs="Times New Roman"/>
          <w:sz w:val="24"/>
          <w:szCs w:val="24"/>
        </w:rPr>
        <w:t xml:space="preserve"> ranking. </w:t>
      </w:r>
      <w:r w:rsidR="00305E1C" w:rsidRPr="00226DD3">
        <w:rPr>
          <w:rFonts w:ascii="Times New Roman" w:hAnsi="Times New Roman" w:cs="Times New Roman"/>
          <w:sz w:val="24"/>
          <w:szCs w:val="24"/>
        </w:rPr>
        <w:t xml:space="preserve">The information is essential for analysis of each company ranging. </w:t>
      </w:r>
      <w:r w:rsidR="00BB5F03">
        <w:rPr>
          <w:rFonts w:ascii="Times New Roman" w:hAnsi="Times New Roman" w:cs="Times New Roman"/>
          <w:sz w:val="24"/>
          <w:szCs w:val="24"/>
        </w:rPr>
        <w:t>The data selection is important as it show comparison of retailer.</w:t>
      </w:r>
    </w:p>
    <w:p w:rsidR="00305E1C" w:rsidRPr="00226DD3" w:rsidRDefault="00305E1C" w:rsidP="00226DD3">
      <w:pPr>
        <w:spacing w:line="480" w:lineRule="auto"/>
        <w:rPr>
          <w:rFonts w:ascii="Times New Roman" w:hAnsi="Times New Roman" w:cs="Times New Roman"/>
          <w:sz w:val="24"/>
          <w:szCs w:val="24"/>
        </w:rPr>
      </w:pPr>
      <w:r w:rsidRPr="00226DD3">
        <w:rPr>
          <w:rFonts w:ascii="Times New Roman" w:hAnsi="Times New Roman" w:cs="Times New Roman"/>
          <w:noProof/>
          <w:sz w:val="24"/>
          <w:szCs w:val="24"/>
        </w:rPr>
        <w:lastRenderedPageBreak/>
        <w:drawing>
          <wp:inline distT="0" distB="0" distL="0" distR="0" wp14:anchorId="5AEFB24A" wp14:editId="0C7A8055">
            <wp:extent cx="5943600" cy="4317365"/>
            <wp:effectExtent l="0" t="0" r="0" b="698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05E1C" w:rsidRPr="00226DD3" w:rsidRDefault="00305E1C" w:rsidP="00A62DC1">
      <w:pPr>
        <w:spacing w:line="480" w:lineRule="auto"/>
        <w:ind w:firstLine="720"/>
        <w:rPr>
          <w:rFonts w:ascii="Times New Roman" w:hAnsi="Times New Roman" w:cs="Times New Roman"/>
          <w:sz w:val="24"/>
          <w:szCs w:val="24"/>
        </w:rPr>
      </w:pPr>
      <w:r w:rsidRPr="00226DD3">
        <w:rPr>
          <w:rFonts w:ascii="Times New Roman" w:hAnsi="Times New Roman" w:cs="Times New Roman"/>
          <w:sz w:val="24"/>
          <w:szCs w:val="24"/>
        </w:rPr>
        <w:t>The pie chart shows the industry type prof</w:t>
      </w:r>
      <w:r w:rsidR="00A0753A" w:rsidRPr="00226DD3">
        <w:rPr>
          <w:rFonts w:ascii="Times New Roman" w:hAnsi="Times New Roman" w:cs="Times New Roman"/>
          <w:sz w:val="24"/>
          <w:szCs w:val="24"/>
        </w:rPr>
        <w:t xml:space="preserve">its for the sales </w:t>
      </w:r>
      <w:r w:rsidRPr="00226DD3">
        <w:rPr>
          <w:rFonts w:ascii="Times New Roman" w:hAnsi="Times New Roman" w:cs="Times New Roman"/>
          <w:sz w:val="24"/>
          <w:szCs w:val="24"/>
        </w:rPr>
        <w:t xml:space="preserve">in percentage. The information shows which industry type has the highest percentage. The information is essential for one to identify a performing company. The department industry type has the highest percentage of 46% in profit margin. </w:t>
      </w:r>
      <w:r w:rsidR="00BB5F03">
        <w:rPr>
          <w:rFonts w:ascii="Times New Roman" w:hAnsi="Times New Roman" w:cs="Times New Roman"/>
          <w:sz w:val="24"/>
          <w:szCs w:val="24"/>
        </w:rPr>
        <w:t xml:space="preserve">The data selection shows the percentage profit for industry type. The selection is important for comparing industry type performance in terms of profit. </w:t>
      </w:r>
    </w:p>
    <w:p w:rsidR="00305E1C" w:rsidRPr="00226DD3" w:rsidRDefault="00305E1C" w:rsidP="00226DD3">
      <w:pPr>
        <w:spacing w:line="480" w:lineRule="auto"/>
        <w:rPr>
          <w:rFonts w:ascii="Times New Roman" w:hAnsi="Times New Roman" w:cs="Times New Roman"/>
          <w:sz w:val="24"/>
          <w:szCs w:val="24"/>
        </w:rPr>
      </w:pPr>
      <w:r w:rsidRPr="00226DD3">
        <w:rPr>
          <w:rFonts w:ascii="Times New Roman" w:hAnsi="Times New Roman" w:cs="Times New Roman"/>
          <w:noProof/>
          <w:sz w:val="24"/>
          <w:szCs w:val="24"/>
        </w:rPr>
        <w:lastRenderedPageBreak/>
        <w:drawing>
          <wp:inline distT="0" distB="0" distL="0" distR="0" wp14:anchorId="1BE010F8" wp14:editId="1B17CD34">
            <wp:extent cx="5943600" cy="4317365"/>
            <wp:effectExtent l="0" t="0" r="0" b="698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753A" w:rsidRPr="00226DD3" w:rsidRDefault="00A0753A" w:rsidP="00A62DC1">
      <w:pPr>
        <w:spacing w:line="480" w:lineRule="auto"/>
        <w:ind w:firstLine="720"/>
        <w:rPr>
          <w:rFonts w:ascii="Times New Roman" w:hAnsi="Times New Roman" w:cs="Times New Roman"/>
          <w:sz w:val="24"/>
          <w:szCs w:val="24"/>
        </w:rPr>
      </w:pPr>
      <w:r w:rsidRPr="00226DD3">
        <w:rPr>
          <w:rFonts w:ascii="Times New Roman" w:hAnsi="Times New Roman" w:cs="Times New Roman"/>
          <w:sz w:val="24"/>
          <w:szCs w:val="24"/>
        </w:rPr>
        <w:t xml:space="preserve">The information shows the store number for each store. Some retailers such as Restaurants has the highest number of stores compared with other retailers. They are retailers with not stores as shown in the figure. </w:t>
      </w:r>
      <w:r w:rsidR="00BB5F03">
        <w:rPr>
          <w:rFonts w:ascii="Times New Roman" w:hAnsi="Times New Roman" w:cs="Times New Roman"/>
          <w:sz w:val="24"/>
          <w:szCs w:val="24"/>
        </w:rPr>
        <w:t>The data selection is important in identifying number of stores that each for retailer.</w:t>
      </w:r>
    </w:p>
    <w:p w:rsidR="00A62DC1" w:rsidRDefault="00A62DC1" w:rsidP="00226DD3">
      <w:pPr>
        <w:spacing w:line="480" w:lineRule="auto"/>
        <w:jc w:val="center"/>
        <w:rPr>
          <w:rFonts w:ascii="Times New Roman" w:hAnsi="Times New Roman" w:cs="Times New Roman"/>
          <w:sz w:val="24"/>
          <w:szCs w:val="24"/>
        </w:rPr>
      </w:pPr>
    </w:p>
    <w:p w:rsidR="00A62DC1" w:rsidRDefault="00A62DC1" w:rsidP="00226DD3">
      <w:pPr>
        <w:spacing w:line="480" w:lineRule="auto"/>
        <w:jc w:val="center"/>
        <w:rPr>
          <w:rFonts w:ascii="Times New Roman" w:hAnsi="Times New Roman" w:cs="Times New Roman"/>
          <w:sz w:val="24"/>
          <w:szCs w:val="24"/>
        </w:rPr>
      </w:pPr>
    </w:p>
    <w:p w:rsidR="00A62DC1" w:rsidRDefault="00A62DC1" w:rsidP="00226DD3">
      <w:pPr>
        <w:spacing w:line="480" w:lineRule="auto"/>
        <w:jc w:val="center"/>
        <w:rPr>
          <w:rFonts w:ascii="Times New Roman" w:hAnsi="Times New Roman" w:cs="Times New Roman"/>
          <w:sz w:val="24"/>
          <w:szCs w:val="24"/>
        </w:rPr>
      </w:pPr>
    </w:p>
    <w:p w:rsidR="00A62DC1" w:rsidRDefault="00A62DC1" w:rsidP="00226DD3">
      <w:pPr>
        <w:spacing w:line="480" w:lineRule="auto"/>
        <w:jc w:val="center"/>
        <w:rPr>
          <w:rFonts w:ascii="Times New Roman" w:hAnsi="Times New Roman" w:cs="Times New Roman"/>
          <w:sz w:val="24"/>
          <w:szCs w:val="24"/>
        </w:rPr>
      </w:pPr>
    </w:p>
    <w:p w:rsidR="00A62DC1" w:rsidRDefault="00A62DC1" w:rsidP="00226DD3">
      <w:pPr>
        <w:spacing w:line="480" w:lineRule="auto"/>
        <w:jc w:val="center"/>
        <w:rPr>
          <w:rFonts w:ascii="Times New Roman" w:hAnsi="Times New Roman" w:cs="Times New Roman"/>
          <w:sz w:val="24"/>
          <w:szCs w:val="24"/>
        </w:rPr>
      </w:pPr>
    </w:p>
    <w:p w:rsidR="00226DD3" w:rsidRPr="00A62DC1" w:rsidRDefault="00226DD3" w:rsidP="00226DD3">
      <w:pPr>
        <w:spacing w:line="480" w:lineRule="auto"/>
        <w:jc w:val="center"/>
        <w:rPr>
          <w:rFonts w:ascii="Times New Roman" w:hAnsi="Times New Roman" w:cs="Times New Roman"/>
          <w:b/>
          <w:sz w:val="24"/>
          <w:szCs w:val="24"/>
        </w:rPr>
      </w:pPr>
      <w:r w:rsidRPr="00A62DC1">
        <w:rPr>
          <w:rFonts w:ascii="Times New Roman" w:hAnsi="Times New Roman" w:cs="Times New Roman"/>
          <w:b/>
          <w:sz w:val="24"/>
          <w:szCs w:val="24"/>
        </w:rPr>
        <w:lastRenderedPageBreak/>
        <w:t>Reference</w:t>
      </w:r>
      <w:r w:rsidR="00A62DC1" w:rsidRPr="00A62DC1">
        <w:rPr>
          <w:rFonts w:ascii="Times New Roman" w:hAnsi="Times New Roman" w:cs="Times New Roman"/>
          <w:b/>
          <w:sz w:val="24"/>
          <w:szCs w:val="24"/>
        </w:rPr>
        <w:t>s</w:t>
      </w:r>
    </w:p>
    <w:p w:rsidR="00226DD3" w:rsidRPr="00226DD3" w:rsidRDefault="00226DD3" w:rsidP="00226DD3">
      <w:pPr>
        <w:spacing w:line="480" w:lineRule="auto"/>
        <w:rPr>
          <w:rFonts w:ascii="Times New Roman" w:hAnsi="Times New Roman" w:cs="Times New Roman"/>
          <w:sz w:val="24"/>
          <w:szCs w:val="24"/>
        </w:rPr>
      </w:pPr>
      <w:r w:rsidRPr="00226DD3">
        <w:rPr>
          <w:rFonts w:ascii="Times New Roman" w:hAnsi="Times New Roman" w:cs="Times New Roman"/>
          <w:color w:val="222222"/>
          <w:sz w:val="24"/>
          <w:szCs w:val="24"/>
          <w:shd w:val="clear" w:color="auto" w:fill="FFFFFF"/>
        </w:rPr>
        <w:t>Wilke, C. O. (2019). </w:t>
      </w:r>
      <w:r w:rsidRPr="00226DD3">
        <w:rPr>
          <w:rFonts w:ascii="Times New Roman" w:hAnsi="Times New Roman" w:cs="Times New Roman"/>
          <w:i/>
          <w:iCs/>
          <w:color w:val="222222"/>
          <w:sz w:val="24"/>
          <w:szCs w:val="24"/>
          <w:shd w:val="clear" w:color="auto" w:fill="FFFFFF"/>
        </w:rPr>
        <w:t>Fundamentals of data visualization: a p</w:t>
      </w:r>
      <w:r>
        <w:rPr>
          <w:rFonts w:ascii="Times New Roman" w:hAnsi="Times New Roman" w:cs="Times New Roman"/>
          <w:i/>
          <w:iCs/>
          <w:color w:val="222222"/>
          <w:sz w:val="24"/>
          <w:szCs w:val="24"/>
          <w:shd w:val="clear" w:color="auto" w:fill="FFFFFF"/>
        </w:rPr>
        <w:t>rimer on making informative and</w:t>
      </w:r>
      <w:r>
        <w:rPr>
          <w:rFonts w:ascii="Times New Roman" w:hAnsi="Times New Roman" w:cs="Times New Roman"/>
          <w:i/>
          <w:iCs/>
          <w:color w:val="222222"/>
          <w:sz w:val="24"/>
          <w:szCs w:val="24"/>
          <w:shd w:val="clear" w:color="auto" w:fill="FFFFFF"/>
        </w:rPr>
        <w:tab/>
      </w:r>
      <w:r w:rsidRPr="00226DD3">
        <w:rPr>
          <w:rFonts w:ascii="Times New Roman" w:hAnsi="Times New Roman" w:cs="Times New Roman"/>
          <w:i/>
          <w:iCs/>
          <w:color w:val="222222"/>
          <w:sz w:val="24"/>
          <w:szCs w:val="24"/>
          <w:shd w:val="clear" w:color="auto" w:fill="FFFFFF"/>
        </w:rPr>
        <w:t>compelling figure</w:t>
      </w:r>
      <w:bookmarkStart w:id="0" w:name="_GoBack"/>
      <w:bookmarkEnd w:id="0"/>
      <w:r w:rsidRPr="00226DD3">
        <w:rPr>
          <w:rFonts w:ascii="Times New Roman" w:hAnsi="Times New Roman" w:cs="Times New Roman"/>
          <w:i/>
          <w:iCs/>
          <w:color w:val="222222"/>
          <w:sz w:val="24"/>
          <w:szCs w:val="24"/>
          <w:shd w:val="clear" w:color="auto" w:fill="FFFFFF"/>
        </w:rPr>
        <w:t>s</w:t>
      </w:r>
      <w:r w:rsidRPr="00226DD3">
        <w:rPr>
          <w:rFonts w:ascii="Times New Roman" w:hAnsi="Times New Roman" w:cs="Times New Roman"/>
          <w:color w:val="222222"/>
          <w:sz w:val="24"/>
          <w:szCs w:val="24"/>
          <w:shd w:val="clear" w:color="auto" w:fill="FFFFFF"/>
        </w:rPr>
        <w:t>. O'Reilly Media.</w:t>
      </w:r>
    </w:p>
    <w:sectPr w:rsidR="00226DD3" w:rsidRPr="00226DD3" w:rsidSect="00A62DC1">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9A9" w:rsidRDefault="002F59A9" w:rsidP="00A0753A">
      <w:pPr>
        <w:spacing w:after="0" w:line="240" w:lineRule="auto"/>
      </w:pPr>
      <w:r>
        <w:separator/>
      </w:r>
    </w:p>
  </w:endnote>
  <w:endnote w:type="continuationSeparator" w:id="0">
    <w:p w:rsidR="002F59A9" w:rsidRDefault="002F59A9" w:rsidP="00A07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9A9" w:rsidRDefault="002F59A9" w:rsidP="00A0753A">
      <w:pPr>
        <w:spacing w:after="0" w:line="240" w:lineRule="auto"/>
      </w:pPr>
      <w:r>
        <w:separator/>
      </w:r>
    </w:p>
  </w:footnote>
  <w:footnote w:type="continuationSeparator" w:id="0">
    <w:p w:rsidR="002F59A9" w:rsidRDefault="002F59A9" w:rsidP="00A07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3452264"/>
      <w:docPartObj>
        <w:docPartGallery w:val="Page Numbers (Top of Page)"/>
        <w:docPartUnique/>
      </w:docPartObj>
    </w:sdtPr>
    <w:sdtEndPr>
      <w:rPr>
        <w:noProof/>
      </w:rPr>
    </w:sdtEndPr>
    <w:sdtContent>
      <w:p w:rsidR="00A62DC1" w:rsidRDefault="00A62DC1">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A0753A" w:rsidRDefault="00A075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53A" w:rsidRPr="00A0753A" w:rsidRDefault="00A0753A">
    <w:pPr>
      <w:pStyle w:val="Header"/>
      <w:jc w:val="right"/>
      <w:rPr>
        <w:rFonts w:ascii="Times New Roman" w:hAnsi="Times New Roman" w:cs="Times New Roman"/>
        <w:sz w:val="24"/>
        <w:szCs w:val="24"/>
      </w:rPr>
    </w:pPr>
    <w:r w:rsidRPr="00A0753A">
      <w:rPr>
        <w:rFonts w:ascii="Times New Roman" w:hAnsi="Times New Roman" w:cs="Times New Roman"/>
        <w:sz w:val="24"/>
        <w:szCs w:val="24"/>
      </w:rPr>
      <w:t xml:space="preserve">Running Head: DATA VISUSALIZATION </w:t>
    </w:r>
    <w:r w:rsidRPr="00A0753A">
      <w:rPr>
        <w:rFonts w:ascii="Times New Roman" w:hAnsi="Times New Roman" w:cs="Times New Roman"/>
        <w:sz w:val="24"/>
        <w:szCs w:val="24"/>
      </w:rPr>
      <w:tab/>
    </w:r>
    <w:r w:rsidRPr="00A0753A">
      <w:rPr>
        <w:rFonts w:ascii="Times New Roman" w:hAnsi="Times New Roman" w:cs="Times New Roman"/>
        <w:sz w:val="24"/>
        <w:szCs w:val="24"/>
      </w:rPr>
      <w:tab/>
    </w:r>
    <w:sdt>
      <w:sdtPr>
        <w:rPr>
          <w:rFonts w:ascii="Times New Roman" w:hAnsi="Times New Roman" w:cs="Times New Roman"/>
          <w:sz w:val="24"/>
          <w:szCs w:val="24"/>
        </w:rPr>
        <w:id w:val="366347946"/>
        <w:docPartObj>
          <w:docPartGallery w:val="Page Numbers (Top of Page)"/>
          <w:docPartUnique/>
        </w:docPartObj>
      </w:sdtPr>
      <w:sdtEndPr>
        <w:rPr>
          <w:noProof/>
        </w:rPr>
      </w:sdtEndPr>
      <w:sdtContent>
        <w:r w:rsidRPr="00A0753A">
          <w:rPr>
            <w:rFonts w:ascii="Times New Roman" w:hAnsi="Times New Roman" w:cs="Times New Roman"/>
            <w:sz w:val="24"/>
            <w:szCs w:val="24"/>
          </w:rPr>
          <w:fldChar w:fldCharType="begin"/>
        </w:r>
        <w:r w:rsidRPr="00A0753A">
          <w:rPr>
            <w:rFonts w:ascii="Times New Roman" w:hAnsi="Times New Roman" w:cs="Times New Roman"/>
            <w:sz w:val="24"/>
            <w:szCs w:val="24"/>
          </w:rPr>
          <w:instrText xml:space="preserve"> PAGE   \* MERGEFORMAT </w:instrText>
        </w:r>
        <w:r w:rsidRPr="00A0753A">
          <w:rPr>
            <w:rFonts w:ascii="Times New Roman" w:hAnsi="Times New Roman" w:cs="Times New Roman"/>
            <w:sz w:val="24"/>
            <w:szCs w:val="24"/>
          </w:rPr>
          <w:fldChar w:fldCharType="separate"/>
        </w:r>
        <w:r w:rsidR="00A62DC1">
          <w:rPr>
            <w:rFonts w:ascii="Times New Roman" w:hAnsi="Times New Roman" w:cs="Times New Roman"/>
            <w:noProof/>
            <w:sz w:val="24"/>
            <w:szCs w:val="24"/>
          </w:rPr>
          <w:t>1</w:t>
        </w:r>
        <w:r w:rsidRPr="00A0753A">
          <w:rPr>
            <w:rFonts w:ascii="Times New Roman" w:hAnsi="Times New Roman" w:cs="Times New Roman"/>
            <w:noProof/>
            <w:sz w:val="24"/>
            <w:szCs w:val="24"/>
          </w:rPr>
          <w:fldChar w:fldCharType="end"/>
        </w:r>
      </w:sdtContent>
    </w:sdt>
  </w:p>
  <w:p w:rsidR="00A0753A" w:rsidRPr="00A0753A" w:rsidRDefault="00A075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24F"/>
    <w:rsid w:val="001040A2"/>
    <w:rsid w:val="00226DD3"/>
    <w:rsid w:val="002F59A9"/>
    <w:rsid w:val="00305E1C"/>
    <w:rsid w:val="004D2AEC"/>
    <w:rsid w:val="00684D1A"/>
    <w:rsid w:val="00820554"/>
    <w:rsid w:val="00840C15"/>
    <w:rsid w:val="009F7727"/>
    <w:rsid w:val="00A0753A"/>
    <w:rsid w:val="00A62DC1"/>
    <w:rsid w:val="00BB0759"/>
    <w:rsid w:val="00BB5F03"/>
    <w:rsid w:val="00EB3267"/>
    <w:rsid w:val="00EC724F"/>
    <w:rsid w:val="00EC7FA7"/>
    <w:rsid w:val="00F83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53A"/>
  </w:style>
  <w:style w:type="paragraph" w:styleId="Footer">
    <w:name w:val="footer"/>
    <w:basedOn w:val="Normal"/>
    <w:link w:val="FooterChar"/>
    <w:uiPriority w:val="99"/>
    <w:unhideWhenUsed/>
    <w:rsid w:val="00A07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53A"/>
  </w:style>
  <w:style w:type="paragraph" w:styleId="BalloonText">
    <w:name w:val="Balloon Text"/>
    <w:basedOn w:val="Normal"/>
    <w:link w:val="BalloonTextChar"/>
    <w:uiPriority w:val="99"/>
    <w:semiHidden/>
    <w:unhideWhenUsed/>
    <w:rsid w:val="00A62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53A"/>
  </w:style>
  <w:style w:type="paragraph" w:styleId="Footer">
    <w:name w:val="footer"/>
    <w:basedOn w:val="Normal"/>
    <w:link w:val="FooterChar"/>
    <w:uiPriority w:val="99"/>
    <w:unhideWhenUsed/>
    <w:rsid w:val="00A07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53A"/>
  </w:style>
  <w:style w:type="paragraph" w:styleId="BalloonText">
    <w:name w:val="Balloon Text"/>
    <w:basedOn w:val="Normal"/>
    <w:link w:val="BalloonTextChar"/>
    <w:uiPriority w:val="99"/>
    <w:semiHidden/>
    <w:unhideWhenUsed/>
    <w:rsid w:val="00A62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Downloads\Desktop\today\New%20folder\_15227f1019e607942a374682381ca324_crp_cleandata%2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ownloads\Desktop\today\New%20folder\_15227f1019e607942a374682381ca324_crp_cleandata%2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ownloads\Desktop\today\New%20folder\_15227f1019e607942a374682381ca324_crp_cleandata%2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Downloads\Desktop\today\New%20folder\_15227f1019e607942a374682381ca324_crp_cleandata%20(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ownloads\Desktop\today\New%20folder\_15227f1019e607942a374682381ca324_crp_cleandata%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[_15227f1019e607942a374682381ca324_crp_cleandata (4).xlsx]Sheet5!PivotTable4</c:name>
    <c:fmtId val="-1"/>
  </c:pivotSource>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Sale for X2013US and X2013World Sales Amount for each Retailer</a:t>
            </a:r>
          </a:p>
        </c:rich>
      </c:tx>
      <c:overlay val="0"/>
      <c:spPr>
        <a:noFill/>
        <a:ln>
          <a:noFill/>
        </a:ln>
        <a:effectLst/>
      </c:spPr>
    </c:title>
    <c:autoTitleDeleted val="0"/>
    <c:pivotFmts>
      <c:pivotFmt>
        <c:idx val="0"/>
      </c:pivotFmt>
      <c:pivotFmt>
        <c:idx val="1"/>
      </c:pivotFmt>
      <c:pivotFmt>
        <c:idx val="2"/>
      </c:pivotFmt>
      <c:pivotFmt>
        <c:idx val="3"/>
      </c:pivotFmt>
      <c:pivotFmt>
        <c:idx val="4"/>
        <c:spPr>
          <a:pattFill prst="narHorz">
            <a:fgClr>
              <a:schemeClr val="accent1"/>
            </a:fgClr>
            <a:bgClr>
              <a:schemeClr val="accent1">
                <a:lumMod val="20000"/>
                <a:lumOff val="80000"/>
              </a:schemeClr>
            </a:bgClr>
          </a:pattFill>
          <a:ln>
            <a:noFill/>
          </a:ln>
          <a:effectLst>
            <a:innerShdw blurRad="114300">
              <a:schemeClr val="accent1"/>
            </a:innerShdw>
          </a:effectLst>
        </c:spPr>
        <c:marker>
          <c:symbol val="none"/>
        </c:marker>
      </c:pivotFmt>
      <c:pivotFmt>
        <c:idx val="5"/>
        <c:spPr>
          <a:pattFill prst="narHorz">
            <a:fgClr>
              <a:schemeClr val="accent1"/>
            </a:fgClr>
            <a:bgClr>
              <a:schemeClr val="accent1">
                <a:lumMod val="20000"/>
                <a:lumOff val="80000"/>
              </a:schemeClr>
            </a:bgClr>
          </a:pattFill>
          <a:ln>
            <a:noFill/>
          </a:ln>
          <a:effectLst>
            <a:innerShdw blurRad="114300">
              <a:schemeClr val="accent1"/>
            </a:innerShdw>
          </a:effectLst>
        </c:spPr>
        <c:marker>
          <c:symbol val="none"/>
        </c:marker>
      </c:pivotFmt>
      <c:pivotFmt>
        <c:idx val="6"/>
        <c:spPr>
          <a:pattFill prst="narHorz">
            <a:fgClr>
              <a:schemeClr val="accent1"/>
            </a:fgClr>
            <a:bgClr>
              <a:schemeClr val="accent1">
                <a:lumMod val="20000"/>
                <a:lumOff val="80000"/>
              </a:schemeClr>
            </a:bgClr>
          </a:pattFill>
          <a:ln>
            <a:noFill/>
          </a:ln>
          <a:effectLst>
            <a:innerShdw blurRad="114300">
              <a:schemeClr val="accent1"/>
            </a:innerShdw>
          </a:effectLst>
        </c:spPr>
        <c:marker>
          <c:symbol val="none"/>
        </c:marker>
      </c:pivotFmt>
      <c:pivotFmt>
        <c:idx val="7"/>
        <c:spPr>
          <a:pattFill prst="narHorz">
            <a:fgClr>
              <a:schemeClr val="accent1"/>
            </a:fgClr>
            <a:bgClr>
              <a:schemeClr val="accent1">
                <a:lumMod val="20000"/>
                <a:lumOff val="80000"/>
              </a:schemeClr>
            </a:bgClr>
          </a:pattFill>
          <a:ln>
            <a:noFill/>
          </a:ln>
          <a:effectLst>
            <a:innerShdw blurRad="114300">
              <a:schemeClr val="accent1"/>
            </a:innerShdw>
          </a:effectLst>
        </c:spPr>
        <c:marker>
          <c:symbol val="none"/>
        </c:marker>
      </c:pivotFmt>
    </c:pivotFmts>
    <c:plotArea>
      <c:layout/>
      <c:barChart>
        <c:barDir val="col"/>
        <c:grouping val="clustered"/>
        <c:varyColors val="0"/>
        <c:ser>
          <c:idx val="0"/>
          <c:order val="0"/>
          <c:tx>
            <c:strRef>
              <c:f>Sheet5!$B$3</c:f>
              <c:strCache>
                <c:ptCount val="1"/>
                <c:pt idx="0">
                  <c:v>Sum of X2013USSales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Sheet5!$A$4:$A$59</c:f>
              <c:strCache>
                <c:ptCount val="55"/>
                <c:pt idx="0">
                  <c:v>7-Eleven</c:v>
                </c:pt>
                <c:pt idx="1">
                  <c:v>Ace Hardware</c:v>
                </c:pt>
                <c:pt idx="2">
                  <c:v>Advance Auto Parts</c:v>
                </c:pt>
                <c:pt idx="3">
                  <c:v>Ahold USA / Royal</c:v>
                </c:pt>
                <c:pt idx="4">
                  <c:v>Amazon.com</c:v>
                </c:pt>
                <c:pt idx="5">
                  <c:v>Ascena Retail Group (Ann Taylor)</c:v>
                </c:pt>
                <c:pt idx="6">
                  <c:v>AutoZone</c:v>
                </c:pt>
                <c:pt idx="7">
                  <c:v>Belk</c:v>
                </c:pt>
                <c:pt idx="8">
                  <c:v>Best Buy</c:v>
                </c:pt>
                <c:pt idx="9">
                  <c:v>Bi-Lo</c:v>
                </c:pt>
                <c:pt idx="10">
                  <c:v>BJ's Wholesale</c:v>
                </c:pt>
                <c:pt idx="11">
                  <c:v>Bloomin' Brands (Outback)</c:v>
                </c:pt>
                <c:pt idx="12">
                  <c:v>Brinker International</c:v>
                </c:pt>
                <c:pt idx="13">
                  <c:v>Chik-fil-A</c:v>
                </c:pt>
                <c:pt idx="14">
                  <c:v>CVS Caremark</c:v>
                </c:pt>
                <c:pt idx="15">
                  <c:v>Dell</c:v>
                </c:pt>
                <c:pt idx="16">
                  <c:v>Dick's Sporting Goods</c:v>
                </c:pt>
                <c:pt idx="17">
                  <c:v>Dillard's</c:v>
                </c:pt>
                <c:pt idx="18">
                  <c:v>Dunkin' Brands</c:v>
                </c:pt>
                <c:pt idx="19">
                  <c:v>Foot Locker</c:v>
                </c:pt>
                <c:pt idx="20">
                  <c:v>GameStop</c:v>
                </c:pt>
                <c:pt idx="21">
                  <c:v>Gap</c:v>
                </c:pt>
                <c:pt idx="22">
                  <c:v>Giant Eagle</c:v>
                </c:pt>
                <c:pt idx="23">
                  <c:v>Harris Teeter Supermkts</c:v>
                </c:pt>
                <c:pt idx="24">
                  <c:v>H-E-B</c:v>
                </c:pt>
                <c:pt idx="25">
                  <c:v>Hy-Vee</c:v>
                </c:pt>
                <c:pt idx="26">
                  <c:v>Ingles Markets</c:v>
                </c:pt>
                <c:pt idx="27">
                  <c:v>J.C. Penney</c:v>
                </c:pt>
                <c:pt idx="28">
                  <c:v>Kohl's</c:v>
                </c:pt>
                <c:pt idx="29">
                  <c:v>Kroger</c:v>
                </c:pt>
                <c:pt idx="30">
                  <c:v>L Brands (Bath &amp; body works)</c:v>
                </c:pt>
                <c:pt idx="31">
                  <c:v>Meijer</c:v>
                </c:pt>
                <c:pt idx="32">
                  <c:v>Menards</c:v>
                </c:pt>
                <c:pt idx="33">
                  <c:v>Neiman Marcus</c:v>
                </c:pt>
                <c:pt idx="34">
                  <c:v>Nordstrom</c:v>
                </c:pt>
                <c:pt idx="35">
                  <c:v>Office Depot</c:v>
                </c:pt>
                <c:pt idx="36">
                  <c:v>OfficeMax</c:v>
                </c:pt>
                <c:pt idx="37">
                  <c:v>O'Reilly Automotive</c:v>
                </c:pt>
                <c:pt idx="38">
                  <c:v>Price Chopper Supermrkts</c:v>
                </c:pt>
                <c:pt idx="39">
                  <c:v>Rite Aid</c:v>
                </c:pt>
                <c:pt idx="40">
                  <c:v>Safeway</c:v>
                </c:pt>
                <c:pt idx="41">
                  <c:v>Save Mart</c:v>
                </c:pt>
                <c:pt idx="42">
                  <c:v>Sears Holdings</c:v>
                </c:pt>
                <c:pt idx="43">
                  <c:v>Signet Jewelers (Kay's)</c:v>
                </c:pt>
                <c:pt idx="44">
                  <c:v>Staples</c:v>
                </c:pt>
                <c:pt idx="45">
                  <c:v>Starbucks</c:v>
                </c:pt>
                <c:pt idx="46">
                  <c:v>Subway</c:v>
                </c:pt>
                <c:pt idx="47">
                  <c:v>SUPERVALU</c:v>
                </c:pt>
                <c:pt idx="48">
                  <c:v>The Home Depot</c:v>
                </c:pt>
                <c:pt idx="49">
                  <c:v>TJX</c:v>
                </c:pt>
                <c:pt idx="50">
                  <c:v>Toys "R" Us</c:v>
                </c:pt>
                <c:pt idx="51">
                  <c:v>Tractor Supply</c:v>
                </c:pt>
                <c:pt idx="52">
                  <c:v>True Value</c:v>
                </c:pt>
                <c:pt idx="53">
                  <c:v>Walgreen</c:v>
                </c:pt>
                <c:pt idx="54">
                  <c:v>Williams-Sonoma</c:v>
                </c:pt>
              </c:strCache>
            </c:strRef>
          </c:cat>
          <c:val>
            <c:numRef>
              <c:f>Sheet5!$B$4:$B$59</c:f>
              <c:numCache>
                <c:formatCode>General</c:formatCode>
                <c:ptCount val="55"/>
                <c:pt idx="0">
                  <c:v>11.625</c:v>
                </c:pt>
                <c:pt idx="1">
                  <c:v>10.605</c:v>
                </c:pt>
                <c:pt idx="2">
                  <c:v>6.4429999999999996</c:v>
                </c:pt>
                <c:pt idx="3">
                  <c:v>26.117999999999999</c:v>
                </c:pt>
                <c:pt idx="4">
                  <c:v>43.962000000000003</c:v>
                </c:pt>
                <c:pt idx="5">
                  <c:v>4.665</c:v>
                </c:pt>
                <c:pt idx="6">
                  <c:v>7.5839999999999996</c:v>
                </c:pt>
                <c:pt idx="7">
                  <c:v>4.0380000000000003</c:v>
                </c:pt>
                <c:pt idx="8">
                  <c:v>35.765999999999998</c:v>
                </c:pt>
                <c:pt idx="9">
                  <c:v>9.0869999999999997</c:v>
                </c:pt>
                <c:pt idx="10">
                  <c:v>12.965000000000002</c:v>
                </c:pt>
                <c:pt idx="11">
                  <c:v>4.0839999999999996</c:v>
                </c:pt>
                <c:pt idx="12">
                  <c:v>3.746</c:v>
                </c:pt>
                <c:pt idx="13">
                  <c:v>5.1910000000000007</c:v>
                </c:pt>
                <c:pt idx="14">
                  <c:v>65.617999999999995</c:v>
                </c:pt>
                <c:pt idx="15">
                  <c:v>4.1059999999999999</c:v>
                </c:pt>
                <c:pt idx="16">
                  <c:v>6.2119999999999997</c:v>
                </c:pt>
                <c:pt idx="17">
                  <c:v>6.4390000000000001</c:v>
                </c:pt>
                <c:pt idx="18">
                  <c:v>7.2560000000000002</c:v>
                </c:pt>
                <c:pt idx="19">
                  <c:v>4.7690000000000001</c:v>
                </c:pt>
                <c:pt idx="20">
                  <c:v>6.1079999999999997</c:v>
                </c:pt>
                <c:pt idx="21">
                  <c:v>12.872</c:v>
                </c:pt>
                <c:pt idx="22">
                  <c:v>6.94</c:v>
                </c:pt>
                <c:pt idx="23">
                  <c:v>4.71</c:v>
                </c:pt>
                <c:pt idx="24">
                  <c:v>19.683</c:v>
                </c:pt>
                <c:pt idx="25">
                  <c:v>7.6290000000000004</c:v>
                </c:pt>
                <c:pt idx="26">
                  <c:v>3.6</c:v>
                </c:pt>
                <c:pt idx="27">
                  <c:v>11.789000000000001</c:v>
                </c:pt>
                <c:pt idx="28">
                  <c:v>19.030999999999999</c:v>
                </c:pt>
                <c:pt idx="29">
                  <c:v>93.597999999999999</c:v>
                </c:pt>
                <c:pt idx="30">
                  <c:v>9.3490000000000002</c:v>
                </c:pt>
                <c:pt idx="31">
                  <c:v>16.62</c:v>
                </c:pt>
                <c:pt idx="32">
                  <c:v>8.8920000000000012</c:v>
                </c:pt>
                <c:pt idx="33">
                  <c:v>4.6480000000000006</c:v>
                </c:pt>
                <c:pt idx="34">
                  <c:v>12.366</c:v>
                </c:pt>
                <c:pt idx="35">
                  <c:v>7.0219999999999994</c:v>
                </c:pt>
                <c:pt idx="36">
                  <c:v>4.6520000000000001</c:v>
                </c:pt>
                <c:pt idx="37">
                  <c:v>6.649</c:v>
                </c:pt>
                <c:pt idx="38">
                  <c:v>3.7840000000000003</c:v>
                </c:pt>
                <c:pt idx="39">
                  <c:v>25.526</c:v>
                </c:pt>
                <c:pt idx="40">
                  <c:v>37.533999999999999</c:v>
                </c:pt>
                <c:pt idx="41">
                  <c:v>4.8890000000000002</c:v>
                </c:pt>
                <c:pt idx="42">
                  <c:v>26.613999999999997</c:v>
                </c:pt>
                <c:pt idx="43">
                  <c:v>3.6470000000000002</c:v>
                </c:pt>
                <c:pt idx="44">
                  <c:v>8.8830000000000009</c:v>
                </c:pt>
                <c:pt idx="45">
                  <c:v>9.6310000000000002</c:v>
                </c:pt>
                <c:pt idx="46">
                  <c:v>12.860999999999999</c:v>
                </c:pt>
                <c:pt idx="47">
                  <c:v>10.966999999999999</c:v>
                </c:pt>
                <c:pt idx="48">
                  <c:v>69.950999999999993</c:v>
                </c:pt>
                <c:pt idx="49">
                  <c:v>20.923000000000002</c:v>
                </c:pt>
                <c:pt idx="50">
                  <c:v>7.5249999999999995</c:v>
                </c:pt>
                <c:pt idx="51">
                  <c:v>5.165</c:v>
                </c:pt>
                <c:pt idx="52">
                  <c:v>16.330000000000002</c:v>
                </c:pt>
                <c:pt idx="53">
                  <c:v>68.067999999999998</c:v>
                </c:pt>
                <c:pt idx="54">
                  <c:v>4.1630000000000003</c:v>
                </c:pt>
              </c:numCache>
            </c:numRef>
          </c:val>
          <c:extLst xmlns:c16r2="http://schemas.microsoft.com/office/drawing/2015/06/chart">
            <c:ext xmlns:c16="http://schemas.microsoft.com/office/drawing/2014/chart" uri="{C3380CC4-5D6E-409C-BE32-E72D297353CC}">
              <c16:uniqueId val="{00000000-4958-4FE9-879B-7FF8E5A3E665}"/>
            </c:ext>
          </c:extLst>
        </c:ser>
        <c:ser>
          <c:idx val="1"/>
          <c:order val="1"/>
          <c:tx>
            <c:strRef>
              <c:f>Sheet5!$C$3</c:f>
              <c:strCache>
                <c:ptCount val="1"/>
                <c:pt idx="0">
                  <c:v>Sum of X2013WorldSales</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Sheet5!$A$4:$A$59</c:f>
              <c:strCache>
                <c:ptCount val="55"/>
                <c:pt idx="0">
                  <c:v>7-Eleven</c:v>
                </c:pt>
                <c:pt idx="1">
                  <c:v>Ace Hardware</c:v>
                </c:pt>
                <c:pt idx="2">
                  <c:v>Advance Auto Parts</c:v>
                </c:pt>
                <c:pt idx="3">
                  <c:v>Ahold USA / Royal</c:v>
                </c:pt>
                <c:pt idx="4">
                  <c:v>Amazon.com</c:v>
                </c:pt>
                <c:pt idx="5">
                  <c:v>Ascena Retail Group (Ann Taylor)</c:v>
                </c:pt>
                <c:pt idx="6">
                  <c:v>AutoZone</c:v>
                </c:pt>
                <c:pt idx="7">
                  <c:v>Belk</c:v>
                </c:pt>
                <c:pt idx="8">
                  <c:v>Best Buy</c:v>
                </c:pt>
                <c:pt idx="9">
                  <c:v>Bi-Lo</c:v>
                </c:pt>
                <c:pt idx="10">
                  <c:v>BJ's Wholesale</c:v>
                </c:pt>
                <c:pt idx="11">
                  <c:v>Bloomin' Brands (Outback)</c:v>
                </c:pt>
                <c:pt idx="12">
                  <c:v>Brinker International</c:v>
                </c:pt>
                <c:pt idx="13">
                  <c:v>Chik-fil-A</c:v>
                </c:pt>
                <c:pt idx="14">
                  <c:v>CVS Caremark</c:v>
                </c:pt>
                <c:pt idx="15">
                  <c:v>Dell</c:v>
                </c:pt>
                <c:pt idx="16">
                  <c:v>Dick's Sporting Goods</c:v>
                </c:pt>
                <c:pt idx="17">
                  <c:v>Dillard's</c:v>
                </c:pt>
                <c:pt idx="18">
                  <c:v>Dunkin' Brands</c:v>
                </c:pt>
                <c:pt idx="19">
                  <c:v>Foot Locker</c:v>
                </c:pt>
                <c:pt idx="20">
                  <c:v>GameStop</c:v>
                </c:pt>
                <c:pt idx="21">
                  <c:v>Gap</c:v>
                </c:pt>
                <c:pt idx="22">
                  <c:v>Giant Eagle</c:v>
                </c:pt>
                <c:pt idx="23">
                  <c:v>Harris Teeter Supermkts</c:v>
                </c:pt>
                <c:pt idx="24">
                  <c:v>H-E-B</c:v>
                </c:pt>
                <c:pt idx="25">
                  <c:v>Hy-Vee</c:v>
                </c:pt>
                <c:pt idx="26">
                  <c:v>Ingles Markets</c:v>
                </c:pt>
                <c:pt idx="27">
                  <c:v>J.C. Penney</c:v>
                </c:pt>
                <c:pt idx="28">
                  <c:v>Kohl's</c:v>
                </c:pt>
                <c:pt idx="29">
                  <c:v>Kroger</c:v>
                </c:pt>
                <c:pt idx="30">
                  <c:v>L Brands (Bath &amp; body works)</c:v>
                </c:pt>
                <c:pt idx="31">
                  <c:v>Meijer</c:v>
                </c:pt>
                <c:pt idx="32">
                  <c:v>Menards</c:v>
                </c:pt>
                <c:pt idx="33">
                  <c:v>Neiman Marcus</c:v>
                </c:pt>
                <c:pt idx="34">
                  <c:v>Nordstrom</c:v>
                </c:pt>
                <c:pt idx="35">
                  <c:v>Office Depot</c:v>
                </c:pt>
                <c:pt idx="36">
                  <c:v>OfficeMax</c:v>
                </c:pt>
                <c:pt idx="37">
                  <c:v>O'Reilly Automotive</c:v>
                </c:pt>
                <c:pt idx="38">
                  <c:v>Price Chopper Supermrkts</c:v>
                </c:pt>
                <c:pt idx="39">
                  <c:v>Rite Aid</c:v>
                </c:pt>
                <c:pt idx="40">
                  <c:v>Safeway</c:v>
                </c:pt>
                <c:pt idx="41">
                  <c:v>Save Mart</c:v>
                </c:pt>
                <c:pt idx="42">
                  <c:v>Sears Holdings</c:v>
                </c:pt>
                <c:pt idx="43">
                  <c:v>Signet Jewelers (Kay's)</c:v>
                </c:pt>
                <c:pt idx="44">
                  <c:v>Staples</c:v>
                </c:pt>
                <c:pt idx="45">
                  <c:v>Starbucks</c:v>
                </c:pt>
                <c:pt idx="46">
                  <c:v>Subway</c:v>
                </c:pt>
                <c:pt idx="47">
                  <c:v>SUPERVALU</c:v>
                </c:pt>
                <c:pt idx="48">
                  <c:v>The Home Depot</c:v>
                </c:pt>
                <c:pt idx="49">
                  <c:v>TJX</c:v>
                </c:pt>
                <c:pt idx="50">
                  <c:v>Toys "R" Us</c:v>
                </c:pt>
                <c:pt idx="51">
                  <c:v>Tractor Supply</c:v>
                </c:pt>
                <c:pt idx="52">
                  <c:v>True Value</c:v>
                </c:pt>
                <c:pt idx="53">
                  <c:v>Walgreen</c:v>
                </c:pt>
                <c:pt idx="54">
                  <c:v>Williams-Sonoma</c:v>
                </c:pt>
              </c:strCache>
            </c:strRef>
          </c:cat>
          <c:val>
            <c:numRef>
              <c:f>Sheet5!$C$4:$C$59</c:f>
              <c:numCache>
                <c:formatCode>General</c:formatCode>
                <c:ptCount val="55"/>
                <c:pt idx="0">
                  <c:v>11.504</c:v>
                </c:pt>
                <c:pt idx="1">
                  <c:v>10.391</c:v>
                </c:pt>
                <c:pt idx="2">
                  <c:v>6.4850000000000003</c:v>
                </c:pt>
                <c:pt idx="3">
                  <c:v>44.027999999999999</c:v>
                </c:pt>
                <c:pt idx="4">
                  <c:v>77.551000000000002</c:v>
                </c:pt>
                <c:pt idx="5">
                  <c:v>4.7149999999999999</c:v>
                </c:pt>
                <c:pt idx="6">
                  <c:v>15.19</c:v>
                </c:pt>
                <c:pt idx="7">
                  <c:v>4.0380000000000003</c:v>
                </c:pt>
                <c:pt idx="8">
                  <c:v>42.158999999999999</c:v>
                </c:pt>
                <c:pt idx="9">
                  <c:v>10.205</c:v>
                </c:pt>
                <c:pt idx="10">
                  <c:v>12.965000000000002</c:v>
                </c:pt>
                <c:pt idx="11">
                  <c:v>4.7629999999999999</c:v>
                </c:pt>
                <c:pt idx="12">
                  <c:v>4.399</c:v>
                </c:pt>
                <c:pt idx="13">
                  <c:v>5.1910000000000007</c:v>
                </c:pt>
                <c:pt idx="14">
                  <c:v>66.682000000000002</c:v>
                </c:pt>
                <c:pt idx="15">
                  <c:v>4.1059999999999999</c:v>
                </c:pt>
                <c:pt idx="16">
                  <c:v>6.2119999999999997</c:v>
                </c:pt>
                <c:pt idx="17">
                  <c:v>6.4390000000000001</c:v>
                </c:pt>
                <c:pt idx="18">
                  <c:v>9.2860000000000014</c:v>
                </c:pt>
                <c:pt idx="19">
                  <c:v>6.5050000000000008</c:v>
                </c:pt>
                <c:pt idx="20">
                  <c:v>9.0399999999999991</c:v>
                </c:pt>
                <c:pt idx="21">
                  <c:v>16.247999999999998</c:v>
                </c:pt>
                <c:pt idx="22">
                  <c:v>6.94</c:v>
                </c:pt>
                <c:pt idx="23">
                  <c:v>4.71</c:v>
                </c:pt>
                <c:pt idx="24">
                  <c:v>21</c:v>
                </c:pt>
                <c:pt idx="25">
                  <c:v>8.859</c:v>
                </c:pt>
                <c:pt idx="26">
                  <c:v>3.6</c:v>
                </c:pt>
                <c:pt idx="27">
                  <c:v>84.087999999999994</c:v>
                </c:pt>
                <c:pt idx="28">
                  <c:v>19.030999999999999</c:v>
                </c:pt>
                <c:pt idx="29">
                  <c:v>93.597999999999999</c:v>
                </c:pt>
                <c:pt idx="30">
                  <c:v>9.0869999999999997</c:v>
                </c:pt>
                <c:pt idx="31">
                  <c:v>16.62</c:v>
                </c:pt>
                <c:pt idx="32">
                  <c:v>16.227999999999998</c:v>
                </c:pt>
                <c:pt idx="33">
                  <c:v>4.6480000000000006</c:v>
                </c:pt>
                <c:pt idx="34">
                  <c:v>11.859</c:v>
                </c:pt>
                <c:pt idx="35">
                  <c:v>10.484999999999999</c:v>
                </c:pt>
                <c:pt idx="36">
                  <c:v>6.077</c:v>
                </c:pt>
                <c:pt idx="37">
                  <c:v>6.649</c:v>
                </c:pt>
                <c:pt idx="38">
                  <c:v>3.7840000000000003</c:v>
                </c:pt>
                <c:pt idx="39">
                  <c:v>25.526</c:v>
                </c:pt>
                <c:pt idx="40">
                  <c:v>42.981999999999999</c:v>
                </c:pt>
                <c:pt idx="41">
                  <c:v>4.8890000000000002</c:v>
                </c:pt>
                <c:pt idx="42">
                  <c:v>31.282999999999998</c:v>
                </c:pt>
                <c:pt idx="43">
                  <c:v>4.2030000000000003</c:v>
                </c:pt>
                <c:pt idx="44">
                  <c:v>8.64</c:v>
                </c:pt>
                <c:pt idx="45">
                  <c:v>9.9719999999999995</c:v>
                </c:pt>
                <c:pt idx="46">
                  <c:v>12.917</c:v>
                </c:pt>
                <c:pt idx="47">
                  <c:v>50.081000000000003</c:v>
                </c:pt>
                <c:pt idx="48">
                  <c:v>78.811999999999998</c:v>
                </c:pt>
                <c:pt idx="49">
                  <c:v>27.422999999999998</c:v>
                </c:pt>
                <c:pt idx="50">
                  <c:v>13.306999999999999</c:v>
                </c:pt>
                <c:pt idx="51">
                  <c:v>5.165</c:v>
                </c:pt>
                <c:pt idx="52">
                  <c:v>16.330000000000002</c:v>
                </c:pt>
                <c:pt idx="53">
                  <c:v>70.096000000000004</c:v>
                </c:pt>
                <c:pt idx="54">
                  <c:v>4.3880000000000008</c:v>
                </c:pt>
              </c:numCache>
            </c:numRef>
          </c:val>
          <c:extLst xmlns:c16r2="http://schemas.microsoft.com/office/drawing/2015/06/chart">
            <c:ext xmlns:c16="http://schemas.microsoft.com/office/drawing/2014/chart" uri="{C3380CC4-5D6E-409C-BE32-E72D297353CC}">
              <c16:uniqueId val="{00000001-4958-4FE9-879B-7FF8E5A3E665}"/>
            </c:ext>
          </c:extLst>
        </c:ser>
        <c:dLbls>
          <c:showLegendKey val="0"/>
          <c:showVal val="0"/>
          <c:showCatName val="0"/>
          <c:showSerName val="0"/>
          <c:showPercent val="0"/>
          <c:showBubbleSize val="0"/>
        </c:dLbls>
        <c:gapWidth val="164"/>
        <c:overlap val="-22"/>
        <c:axId val="362907904"/>
        <c:axId val="362914176"/>
      </c:barChart>
      <c:catAx>
        <c:axId val="36290790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Retailer</a:t>
                </a:r>
              </a:p>
            </c:rich>
          </c:tx>
          <c:overlay val="0"/>
          <c:spPr>
            <a:noFill/>
            <a:ln>
              <a:noFill/>
            </a:ln>
            <a:effectLst/>
          </c:sp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914176"/>
        <c:crosses val="autoZero"/>
        <c:auto val="1"/>
        <c:lblAlgn val="ctr"/>
        <c:lblOffset val="100"/>
        <c:noMultiLvlLbl val="0"/>
      </c:catAx>
      <c:valAx>
        <c:axId val="36291417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Amount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9079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[_15227f1019e607942a374682381ca324_crp_cleandata (4).xlsx]Sheet4!PivotTable3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Profit for Each</a:t>
            </a:r>
            <a:r>
              <a:rPr lang="en-US" baseline="0"/>
              <a:t> Retaier chart</a:t>
            </a:r>
            <a:endParaRPr lang="en-US"/>
          </a:p>
        </c:rich>
      </c:tx>
      <c:overlay val="0"/>
      <c:spPr>
        <a:noFill/>
        <a:ln>
          <a:noFill/>
        </a:ln>
        <a:effectLst/>
      </c:sp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s>
    <c:plotArea>
      <c:layout/>
      <c:barChart>
        <c:barDir val="col"/>
        <c:grouping val="clustered"/>
        <c:varyColors val="0"/>
        <c:ser>
          <c:idx val="0"/>
          <c:order val="0"/>
          <c:tx>
            <c:strRef>
              <c:f>Sheet4!$B$3</c:f>
              <c:strCache>
                <c:ptCount val="1"/>
                <c:pt idx="0">
                  <c:v>Total</c:v>
                </c:pt>
              </c:strCache>
            </c:strRef>
          </c:tx>
          <c:spPr>
            <a:solidFill>
              <a:schemeClr val="accent1"/>
            </a:solidFill>
            <a:ln>
              <a:noFill/>
            </a:ln>
            <a:effectLst/>
          </c:spPr>
          <c:invertIfNegative val="0"/>
          <c:cat>
            <c:strRef>
              <c:f>Sheet4!$A$4:$A$104</c:f>
              <c:strCache>
                <c:ptCount val="100"/>
                <c:pt idx="0">
                  <c:v>7-Eleven</c:v>
                </c:pt>
                <c:pt idx="1">
                  <c:v>A&amp;P</c:v>
                </c:pt>
                <c:pt idx="2">
                  <c:v>Ace Hardware</c:v>
                </c:pt>
                <c:pt idx="3">
                  <c:v>Advance Auto Parts</c:v>
                </c:pt>
                <c:pt idx="4">
                  <c:v>Ahold USA / Royal</c:v>
                </c:pt>
                <c:pt idx="5">
                  <c:v>Albertsons</c:v>
                </c:pt>
                <c:pt idx="6">
                  <c:v>Aldi</c:v>
                </c:pt>
                <c:pt idx="7">
                  <c:v>Alimentation Couche Tard (Circle K)</c:v>
                </c:pt>
                <c:pt idx="8">
                  <c:v>Amazon.com</c:v>
                </c:pt>
                <c:pt idx="9">
                  <c:v>Apple Stores</c:v>
                </c:pt>
                <c:pt idx="10">
                  <c:v>Army Air Force Exchange</c:v>
                </c:pt>
                <c:pt idx="11">
                  <c:v>Ascena Retail Group (Ann Taylor)</c:v>
                </c:pt>
                <c:pt idx="12">
                  <c:v>AT&amp;T Wireless</c:v>
                </c:pt>
                <c:pt idx="13">
                  <c:v>AutoZone</c:v>
                </c:pt>
                <c:pt idx="14">
                  <c:v>Barnes &amp; Noble</c:v>
                </c:pt>
                <c:pt idx="15">
                  <c:v>Bed Bath &amp; Beyond</c:v>
                </c:pt>
                <c:pt idx="16">
                  <c:v>Belk</c:v>
                </c:pt>
                <c:pt idx="17">
                  <c:v>Best Buy</c:v>
                </c:pt>
                <c:pt idx="18">
                  <c:v>Big Lots</c:v>
                </c:pt>
                <c:pt idx="19">
                  <c:v>Bi-Lo</c:v>
                </c:pt>
                <c:pt idx="20">
                  <c:v>BJ's Wholesale</c:v>
                </c:pt>
                <c:pt idx="21">
                  <c:v>Bloomin' Brands (Outback)</c:v>
                </c:pt>
                <c:pt idx="22">
                  <c:v>Brinker International</c:v>
                </c:pt>
                <c:pt idx="23">
                  <c:v>Burger King</c:v>
                </c:pt>
                <c:pt idx="24">
                  <c:v>Burlington Coat Factory</c:v>
                </c:pt>
                <c:pt idx="25">
                  <c:v>Chik-fil-A</c:v>
                </c:pt>
                <c:pt idx="26">
                  <c:v>Costco</c:v>
                </c:pt>
                <c:pt idx="27">
                  <c:v>CVS Caremark</c:v>
                </c:pt>
                <c:pt idx="28">
                  <c:v>Darden Restaurants (Olive Garden)</c:v>
                </c:pt>
                <c:pt idx="29">
                  <c:v>Defense Commissary Agency</c:v>
                </c:pt>
                <c:pt idx="30">
                  <c:v>Delhaize America</c:v>
                </c:pt>
                <c:pt idx="31">
                  <c:v>Dell</c:v>
                </c:pt>
                <c:pt idx="32">
                  <c:v>Dick's Sporting Goods</c:v>
                </c:pt>
                <c:pt idx="33">
                  <c:v>Dillard's</c:v>
                </c:pt>
                <c:pt idx="34">
                  <c:v>DineEquity (Applebee's)</c:v>
                </c:pt>
                <c:pt idx="35">
                  <c:v>Dollar General</c:v>
                </c:pt>
                <c:pt idx="36">
                  <c:v>Dollar Tree</c:v>
                </c:pt>
                <c:pt idx="37">
                  <c:v>Dunkin' Brands</c:v>
                </c:pt>
                <c:pt idx="38">
                  <c:v>Family Dollar</c:v>
                </c:pt>
                <c:pt idx="39">
                  <c:v>Foot Locker</c:v>
                </c:pt>
                <c:pt idx="40">
                  <c:v>GameStop</c:v>
                </c:pt>
                <c:pt idx="41">
                  <c:v>Gap</c:v>
                </c:pt>
                <c:pt idx="42">
                  <c:v>Giant Eagle</c:v>
                </c:pt>
                <c:pt idx="43">
                  <c:v>Good Neighbor Pharmacy</c:v>
                </c:pt>
                <c:pt idx="44">
                  <c:v>Harris Teeter Supermkts</c:v>
                </c:pt>
                <c:pt idx="45">
                  <c:v>H-E-B</c:v>
                </c:pt>
                <c:pt idx="46">
                  <c:v>Hy-Vee</c:v>
                </c:pt>
                <c:pt idx="47">
                  <c:v>IKEA North America</c:v>
                </c:pt>
                <c:pt idx="48">
                  <c:v>Ingles Markets</c:v>
                </c:pt>
                <c:pt idx="49">
                  <c:v>J.C. Penney</c:v>
                </c:pt>
                <c:pt idx="50">
                  <c:v>Kohl's</c:v>
                </c:pt>
                <c:pt idx="51">
                  <c:v>Kroger</c:v>
                </c:pt>
                <c:pt idx="52">
                  <c:v>L Brands (Bath &amp; body works)</c:v>
                </c:pt>
                <c:pt idx="53">
                  <c:v>Lowe's</c:v>
                </c:pt>
                <c:pt idx="54">
                  <c:v>Macy's</c:v>
                </c:pt>
                <c:pt idx="55">
                  <c:v>McDonald's</c:v>
                </c:pt>
                <c:pt idx="56">
                  <c:v>Meijer</c:v>
                </c:pt>
                <c:pt idx="57">
                  <c:v>Menards</c:v>
                </c:pt>
                <c:pt idx="58">
                  <c:v>Michaels Stores</c:v>
                </c:pt>
                <c:pt idx="59">
                  <c:v>Neiman Marcus</c:v>
                </c:pt>
                <c:pt idx="60">
                  <c:v>Nordstrom</c:v>
                </c:pt>
                <c:pt idx="61">
                  <c:v>Office Depot</c:v>
                </c:pt>
                <c:pt idx="62">
                  <c:v>OfficeMax</c:v>
                </c:pt>
                <c:pt idx="63">
                  <c:v>O'Reilly Automotive</c:v>
                </c:pt>
                <c:pt idx="64">
                  <c:v>PetSmart</c:v>
                </c:pt>
                <c:pt idx="65">
                  <c:v>Philips Health Mart Systems</c:v>
                </c:pt>
                <c:pt idx="66">
                  <c:v>Price Chopper Supermrkts</c:v>
                </c:pt>
                <c:pt idx="67">
                  <c:v>Publix</c:v>
                </c:pt>
                <c:pt idx="68">
                  <c:v>QVC</c:v>
                </c:pt>
                <c:pt idx="69">
                  <c:v>Rite Aid</c:v>
                </c:pt>
                <c:pt idx="70">
                  <c:v>Ross Stores</c:v>
                </c:pt>
                <c:pt idx="71">
                  <c:v>Roundy's Supermarkets (pick and save)</c:v>
                </c:pt>
                <c:pt idx="72">
                  <c:v>Safeway</c:v>
                </c:pt>
                <c:pt idx="73">
                  <c:v>Save Mart</c:v>
                </c:pt>
                <c:pt idx="74">
                  <c:v>Sears Holdings</c:v>
                </c:pt>
                <c:pt idx="75">
                  <c:v>Sherwin Williams</c:v>
                </c:pt>
                <c:pt idx="76">
                  <c:v>Signet Jewelers (Kay's)</c:v>
                </c:pt>
                <c:pt idx="77">
                  <c:v>Sonic</c:v>
                </c:pt>
                <c:pt idx="78">
                  <c:v>Staples</c:v>
                </c:pt>
                <c:pt idx="79">
                  <c:v>Starbucks</c:v>
                </c:pt>
                <c:pt idx="80">
                  <c:v>Stater Brothers. Supermarket</c:v>
                </c:pt>
                <c:pt idx="81">
                  <c:v>Subway</c:v>
                </c:pt>
                <c:pt idx="82">
                  <c:v>SUPERVALU</c:v>
                </c:pt>
                <c:pt idx="83">
                  <c:v>Target</c:v>
                </c:pt>
                <c:pt idx="84">
                  <c:v>The Home Depot</c:v>
                </c:pt>
                <c:pt idx="85">
                  <c:v>TJX</c:v>
                </c:pt>
                <c:pt idx="86">
                  <c:v>Toys "R" Us</c:v>
                </c:pt>
                <c:pt idx="87">
                  <c:v>Tractor Supply</c:v>
                </c:pt>
                <c:pt idx="88">
                  <c:v>Trader Joe's</c:v>
                </c:pt>
                <c:pt idx="89">
                  <c:v>True Value</c:v>
                </c:pt>
                <c:pt idx="90">
                  <c:v>Verizon Wireless</c:v>
                </c:pt>
                <c:pt idx="91">
                  <c:v>Wakefern / Shoprite</c:v>
                </c:pt>
                <c:pt idx="92">
                  <c:v>Walgreen</c:v>
                </c:pt>
                <c:pt idx="93">
                  <c:v>Wal-Mart</c:v>
                </c:pt>
                <c:pt idx="94">
                  <c:v>Wegmans Food Markets</c:v>
                </c:pt>
                <c:pt idx="95">
                  <c:v>Wendy's</c:v>
                </c:pt>
                <c:pt idx="96">
                  <c:v>Whole Foods</c:v>
                </c:pt>
                <c:pt idx="97">
                  <c:v>Williams-Sonoma</c:v>
                </c:pt>
                <c:pt idx="98">
                  <c:v>WinCo Foods</c:v>
                </c:pt>
                <c:pt idx="99">
                  <c:v>YUM! Brands</c:v>
                </c:pt>
              </c:strCache>
            </c:strRef>
          </c:cat>
          <c:val>
            <c:numRef>
              <c:f>Sheet4!$B$4:$B$104</c:f>
              <c:numCache>
                <c:formatCode>"$"#,##0.00_);\("$"#,##0.00\)</c:formatCode>
                <c:ptCount val="100"/>
                <c:pt idx="0">
                  <c:v>50.31</c:v>
                </c:pt>
                <c:pt idx="1">
                  <c:v>48.85</c:v>
                </c:pt>
                <c:pt idx="2">
                  <c:v>85.89</c:v>
                </c:pt>
                <c:pt idx="3">
                  <c:v>64.239999999999995</c:v>
                </c:pt>
                <c:pt idx="4">
                  <c:v>40.869999999999997</c:v>
                </c:pt>
                <c:pt idx="5">
                  <c:v>69.02</c:v>
                </c:pt>
                <c:pt idx="6">
                  <c:v>69.41</c:v>
                </c:pt>
                <c:pt idx="7">
                  <c:v>68.03</c:v>
                </c:pt>
                <c:pt idx="8">
                  <c:v>19.149999999999999</c:v>
                </c:pt>
                <c:pt idx="9">
                  <c:v>11.07</c:v>
                </c:pt>
                <c:pt idx="10">
                  <c:v>60.41</c:v>
                </c:pt>
                <c:pt idx="11">
                  <c:v>93.45</c:v>
                </c:pt>
                <c:pt idx="12">
                  <c:v>46.95</c:v>
                </c:pt>
                <c:pt idx="13">
                  <c:v>96.64</c:v>
                </c:pt>
                <c:pt idx="14">
                  <c:v>72.790000000000006</c:v>
                </c:pt>
                <c:pt idx="15">
                  <c:v>10.07</c:v>
                </c:pt>
                <c:pt idx="16">
                  <c:v>38.64</c:v>
                </c:pt>
                <c:pt idx="17">
                  <c:v>36.33</c:v>
                </c:pt>
                <c:pt idx="18">
                  <c:v>12.09</c:v>
                </c:pt>
                <c:pt idx="19">
                  <c:v>29.5</c:v>
                </c:pt>
                <c:pt idx="20">
                  <c:v>55.72</c:v>
                </c:pt>
                <c:pt idx="21">
                  <c:v>33.94</c:v>
                </c:pt>
                <c:pt idx="22">
                  <c:v>16.100000000000001</c:v>
                </c:pt>
                <c:pt idx="23">
                  <c:v>98.47</c:v>
                </c:pt>
                <c:pt idx="24">
                  <c:v>45.67</c:v>
                </c:pt>
                <c:pt idx="25">
                  <c:v>91.95</c:v>
                </c:pt>
                <c:pt idx="26">
                  <c:v>50.75</c:v>
                </c:pt>
                <c:pt idx="27">
                  <c:v>43.17</c:v>
                </c:pt>
                <c:pt idx="28">
                  <c:v>13.94</c:v>
                </c:pt>
                <c:pt idx="29">
                  <c:v>4.24</c:v>
                </c:pt>
                <c:pt idx="30">
                  <c:v>84.23</c:v>
                </c:pt>
                <c:pt idx="31">
                  <c:v>22.2</c:v>
                </c:pt>
                <c:pt idx="32">
                  <c:v>15.34</c:v>
                </c:pt>
                <c:pt idx="33">
                  <c:v>52.8</c:v>
                </c:pt>
                <c:pt idx="34">
                  <c:v>7.1</c:v>
                </c:pt>
                <c:pt idx="35">
                  <c:v>54.12</c:v>
                </c:pt>
                <c:pt idx="36">
                  <c:v>21.04</c:v>
                </c:pt>
                <c:pt idx="37">
                  <c:v>28.25</c:v>
                </c:pt>
                <c:pt idx="38">
                  <c:v>30.96</c:v>
                </c:pt>
                <c:pt idx="39">
                  <c:v>21.69</c:v>
                </c:pt>
                <c:pt idx="40">
                  <c:v>55.76</c:v>
                </c:pt>
                <c:pt idx="41">
                  <c:v>22.77</c:v>
                </c:pt>
                <c:pt idx="42">
                  <c:v>99.2</c:v>
                </c:pt>
                <c:pt idx="43">
                  <c:v>59.64</c:v>
                </c:pt>
                <c:pt idx="44">
                  <c:v>27.24</c:v>
                </c:pt>
                <c:pt idx="45">
                  <c:v>9.49</c:v>
                </c:pt>
                <c:pt idx="46">
                  <c:v>1.99</c:v>
                </c:pt>
                <c:pt idx="47">
                  <c:v>19.489999999999998</c:v>
                </c:pt>
                <c:pt idx="48">
                  <c:v>32.83</c:v>
                </c:pt>
                <c:pt idx="49">
                  <c:v>11.07</c:v>
                </c:pt>
                <c:pt idx="50">
                  <c:v>81.23</c:v>
                </c:pt>
                <c:pt idx="51">
                  <c:v>51.54</c:v>
                </c:pt>
                <c:pt idx="52">
                  <c:v>64.38</c:v>
                </c:pt>
                <c:pt idx="53">
                  <c:v>86.36</c:v>
                </c:pt>
                <c:pt idx="54">
                  <c:v>19.47</c:v>
                </c:pt>
                <c:pt idx="55">
                  <c:v>5.04</c:v>
                </c:pt>
                <c:pt idx="56">
                  <c:v>32.56</c:v>
                </c:pt>
                <c:pt idx="57">
                  <c:v>83.48</c:v>
                </c:pt>
                <c:pt idx="58">
                  <c:v>9.59</c:v>
                </c:pt>
                <c:pt idx="59">
                  <c:v>25.59</c:v>
                </c:pt>
                <c:pt idx="60">
                  <c:v>77.64</c:v>
                </c:pt>
                <c:pt idx="61">
                  <c:v>87.39</c:v>
                </c:pt>
                <c:pt idx="62">
                  <c:v>89.06</c:v>
                </c:pt>
                <c:pt idx="63">
                  <c:v>95.72</c:v>
                </c:pt>
                <c:pt idx="64">
                  <c:v>28.12</c:v>
                </c:pt>
                <c:pt idx="65">
                  <c:v>90.33</c:v>
                </c:pt>
                <c:pt idx="66">
                  <c:v>16.46</c:v>
                </c:pt>
                <c:pt idx="67">
                  <c:v>77.760000000000005</c:v>
                </c:pt>
                <c:pt idx="68">
                  <c:v>97.49</c:v>
                </c:pt>
                <c:pt idx="69">
                  <c:v>11.21</c:v>
                </c:pt>
                <c:pt idx="70">
                  <c:v>18.989999999999998</c:v>
                </c:pt>
                <c:pt idx="71">
                  <c:v>98.56</c:v>
                </c:pt>
                <c:pt idx="72">
                  <c:v>44.22</c:v>
                </c:pt>
                <c:pt idx="73">
                  <c:v>19.350000000000001</c:v>
                </c:pt>
                <c:pt idx="74">
                  <c:v>45.52</c:v>
                </c:pt>
                <c:pt idx="75">
                  <c:v>1.02</c:v>
                </c:pt>
                <c:pt idx="76">
                  <c:v>23.17</c:v>
                </c:pt>
                <c:pt idx="77">
                  <c:v>28.77</c:v>
                </c:pt>
                <c:pt idx="78">
                  <c:v>50.15</c:v>
                </c:pt>
                <c:pt idx="79">
                  <c:v>71.56</c:v>
                </c:pt>
                <c:pt idx="80">
                  <c:v>37.520000000000003</c:v>
                </c:pt>
                <c:pt idx="81">
                  <c:v>11.39</c:v>
                </c:pt>
                <c:pt idx="82">
                  <c:v>70.06</c:v>
                </c:pt>
                <c:pt idx="83">
                  <c:v>19.37</c:v>
                </c:pt>
                <c:pt idx="84">
                  <c:v>58.4</c:v>
                </c:pt>
                <c:pt idx="85">
                  <c:v>72.400000000000006</c:v>
                </c:pt>
                <c:pt idx="86">
                  <c:v>79.33</c:v>
                </c:pt>
                <c:pt idx="87">
                  <c:v>2.65</c:v>
                </c:pt>
                <c:pt idx="88">
                  <c:v>51.38</c:v>
                </c:pt>
                <c:pt idx="89">
                  <c:v>38.69</c:v>
                </c:pt>
                <c:pt idx="90">
                  <c:v>82.6</c:v>
                </c:pt>
                <c:pt idx="91">
                  <c:v>87.82</c:v>
                </c:pt>
                <c:pt idx="92">
                  <c:v>23.47</c:v>
                </c:pt>
                <c:pt idx="93">
                  <c:v>15.16</c:v>
                </c:pt>
                <c:pt idx="94">
                  <c:v>45.93</c:v>
                </c:pt>
                <c:pt idx="95">
                  <c:v>16.7</c:v>
                </c:pt>
                <c:pt idx="96">
                  <c:v>32.880000000000003</c:v>
                </c:pt>
                <c:pt idx="97">
                  <c:v>30.09</c:v>
                </c:pt>
                <c:pt idx="98">
                  <c:v>3.89</c:v>
                </c:pt>
                <c:pt idx="99">
                  <c:v>60.97</c:v>
                </c:pt>
              </c:numCache>
            </c:numRef>
          </c:val>
          <c:extLst xmlns:c16r2="http://schemas.microsoft.com/office/drawing/2015/06/chart">
            <c:ext xmlns:c16="http://schemas.microsoft.com/office/drawing/2014/chart" uri="{C3380CC4-5D6E-409C-BE32-E72D297353CC}">
              <c16:uniqueId val="{00000000-E059-4225-9909-DC662A94E82B}"/>
            </c:ext>
          </c:extLst>
        </c:ser>
        <c:dLbls>
          <c:showLegendKey val="0"/>
          <c:showVal val="0"/>
          <c:showCatName val="0"/>
          <c:showSerName val="0"/>
          <c:showPercent val="0"/>
          <c:showBubbleSize val="0"/>
        </c:dLbls>
        <c:gapWidth val="219"/>
        <c:overlap val="-27"/>
        <c:axId val="362937344"/>
        <c:axId val="362992768"/>
      </c:barChart>
      <c:catAx>
        <c:axId val="362937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Retailer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992768"/>
        <c:crosses val="autoZero"/>
        <c:auto val="1"/>
        <c:lblAlgn val="ctr"/>
        <c:lblOffset val="100"/>
        <c:noMultiLvlLbl val="0"/>
      </c:catAx>
      <c:valAx>
        <c:axId val="362992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Profit Amount</a:t>
                </a:r>
              </a:p>
            </c:rich>
          </c:tx>
          <c:overlay val="0"/>
          <c:spPr>
            <a:noFill/>
            <a:ln>
              <a:noFill/>
            </a:ln>
            <a:effectLst/>
          </c:spPr>
        </c:title>
        <c:numFmt formatCode="&quot;$&quot;#,##0.00_);\(&quot;$&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9373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[_15227f1019e607942a374682381ca324_crp_cleandata (4).xlsx]Sheet6!PivotTable6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Retailer Salerank</a:t>
            </a:r>
          </a:p>
        </c:rich>
      </c:tx>
      <c:overlay val="0"/>
      <c:spPr>
        <a:noFill/>
        <a:ln>
          <a:noFill/>
        </a:ln>
        <a:effectLst/>
      </c:spPr>
    </c:title>
    <c:autoTitleDeleted val="0"/>
    <c:pivotFmts>
      <c:pivotFmt>
        <c:idx val="0"/>
        <c:spPr>
          <a:solidFill>
            <a:schemeClr val="accent1"/>
          </a:solidFill>
          <a:ln>
            <a:noFill/>
          </a:ln>
          <a:effectLst/>
          <a:sp3d/>
        </c:spPr>
        <c:marker>
          <c:symbol val="none"/>
        </c:marker>
      </c:pivotFmt>
      <c:pivotFmt>
        <c:idx val="1"/>
        <c:spPr>
          <a:solidFill>
            <a:schemeClr val="accent1"/>
          </a:solidFill>
          <a:ln>
            <a:noFill/>
          </a:ln>
          <a:effectLst/>
          <a:sp3d/>
        </c:spPr>
        <c:marker>
          <c:symbol val="none"/>
        </c:marker>
      </c:pivotFmt>
      <c:pivotFmt>
        <c:idx val="2"/>
        <c:spPr>
          <a:solidFill>
            <a:schemeClr val="accent1"/>
          </a:solidFill>
          <a:ln>
            <a:noFill/>
          </a:ln>
          <a:effectLst/>
          <a:sp3d/>
        </c:spPr>
        <c:marker>
          <c:symbol val="none"/>
        </c:marker>
      </c:pivotFmt>
      <c:pivotFmt>
        <c:idx val="3"/>
        <c:spPr>
          <a:solidFill>
            <a:schemeClr val="accent1"/>
          </a:solidFill>
          <a:ln>
            <a:noFill/>
          </a:ln>
          <a:effectLst/>
          <a:sp3d/>
        </c:spPr>
        <c:marker>
          <c:symbol val="none"/>
        </c:marker>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Sheet6!$B$3</c:f>
              <c:strCache>
                <c:ptCount val="1"/>
                <c:pt idx="0">
                  <c:v>Total</c:v>
                </c:pt>
              </c:strCache>
            </c:strRef>
          </c:tx>
          <c:spPr>
            <a:solidFill>
              <a:schemeClr val="accent1"/>
            </a:solidFill>
            <a:ln>
              <a:noFill/>
            </a:ln>
            <a:effectLst/>
            <a:sp3d/>
          </c:spPr>
          <c:invertIfNegative val="0"/>
          <c:cat>
            <c:strRef>
              <c:f>Sheet6!$A$4:$A$104</c:f>
              <c:strCache>
                <c:ptCount val="100"/>
                <c:pt idx="0">
                  <c:v>7-Eleven</c:v>
                </c:pt>
                <c:pt idx="1">
                  <c:v>A&amp;P</c:v>
                </c:pt>
                <c:pt idx="2">
                  <c:v>Ace Hardware</c:v>
                </c:pt>
                <c:pt idx="3">
                  <c:v>Advance Auto Parts</c:v>
                </c:pt>
                <c:pt idx="4">
                  <c:v>Ahold USA / Royal</c:v>
                </c:pt>
                <c:pt idx="5">
                  <c:v>Albertsons</c:v>
                </c:pt>
                <c:pt idx="6">
                  <c:v>Aldi</c:v>
                </c:pt>
                <c:pt idx="7">
                  <c:v>Alimentation Couche Tard (Circle K)</c:v>
                </c:pt>
                <c:pt idx="8">
                  <c:v>Amazon.com</c:v>
                </c:pt>
                <c:pt idx="9">
                  <c:v>Apple Stores</c:v>
                </c:pt>
                <c:pt idx="10">
                  <c:v>Army Air Force Exchange</c:v>
                </c:pt>
                <c:pt idx="11">
                  <c:v>Ascena Retail Group (Ann Taylor)</c:v>
                </c:pt>
                <c:pt idx="12">
                  <c:v>AT&amp;T Wireless</c:v>
                </c:pt>
                <c:pt idx="13">
                  <c:v>AutoZone</c:v>
                </c:pt>
                <c:pt idx="14">
                  <c:v>Barnes &amp; Noble</c:v>
                </c:pt>
                <c:pt idx="15">
                  <c:v>Bed Bath &amp; Beyond</c:v>
                </c:pt>
                <c:pt idx="16">
                  <c:v>Belk</c:v>
                </c:pt>
                <c:pt idx="17">
                  <c:v>Best Buy</c:v>
                </c:pt>
                <c:pt idx="18">
                  <c:v>Big Lots</c:v>
                </c:pt>
                <c:pt idx="19">
                  <c:v>Bi-Lo</c:v>
                </c:pt>
                <c:pt idx="20">
                  <c:v>BJ's Wholesale</c:v>
                </c:pt>
                <c:pt idx="21">
                  <c:v>Bloomin' Brands (Outback)</c:v>
                </c:pt>
                <c:pt idx="22">
                  <c:v>Brinker International</c:v>
                </c:pt>
                <c:pt idx="23">
                  <c:v>Burger King</c:v>
                </c:pt>
                <c:pt idx="24">
                  <c:v>Burlington Coat Factory</c:v>
                </c:pt>
                <c:pt idx="25">
                  <c:v>Chik-fil-A</c:v>
                </c:pt>
                <c:pt idx="26">
                  <c:v>Costco</c:v>
                </c:pt>
                <c:pt idx="27">
                  <c:v>CVS Caremark</c:v>
                </c:pt>
                <c:pt idx="28">
                  <c:v>Darden Restaurants (Olive Garden)</c:v>
                </c:pt>
                <c:pt idx="29">
                  <c:v>Defense Commissary Agency</c:v>
                </c:pt>
                <c:pt idx="30">
                  <c:v>Delhaize America</c:v>
                </c:pt>
                <c:pt idx="31">
                  <c:v>Dell</c:v>
                </c:pt>
                <c:pt idx="32">
                  <c:v>Dick's Sporting Goods</c:v>
                </c:pt>
                <c:pt idx="33">
                  <c:v>Dillard's</c:v>
                </c:pt>
                <c:pt idx="34">
                  <c:v>DineEquity (Applebee's)</c:v>
                </c:pt>
                <c:pt idx="35">
                  <c:v>Dollar General</c:v>
                </c:pt>
                <c:pt idx="36">
                  <c:v>Dollar Tree</c:v>
                </c:pt>
                <c:pt idx="37">
                  <c:v>Dunkin' Brands</c:v>
                </c:pt>
                <c:pt idx="38">
                  <c:v>Family Dollar</c:v>
                </c:pt>
                <c:pt idx="39">
                  <c:v>Foot Locker</c:v>
                </c:pt>
                <c:pt idx="40">
                  <c:v>GameStop</c:v>
                </c:pt>
                <c:pt idx="41">
                  <c:v>Gap</c:v>
                </c:pt>
                <c:pt idx="42">
                  <c:v>Giant Eagle</c:v>
                </c:pt>
                <c:pt idx="43">
                  <c:v>Good Neighbor Pharmacy</c:v>
                </c:pt>
                <c:pt idx="44">
                  <c:v>Harris Teeter Supermkts</c:v>
                </c:pt>
                <c:pt idx="45">
                  <c:v>H-E-B</c:v>
                </c:pt>
                <c:pt idx="46">
                  <c:v>Hy-Vee</c:v>
                </c:pt>
                <c:pt idx="47">
                  <c:v>IKEA North America</c:v>
                </c:pt>
                <c:pt idx="48">
                  <c:v>Ingles Markets</c:v>
                </c:pt>
                <c:pt idx="49">
                  <c:v>J.C. Penney</c:v>
                </c:pt>
                <c:pt idx="50">
                  <c:v>Kohl's</c:v>
                </c:pt>
                <c:pt idx="51">
                  <c:v>Kroger</c:v>
                </c:pt>
                <c:pt idx="52">
                  <c:v>L Brands (Bath &amp; body works)</c:v>
                </c:pt>
                <c:pt idx="53">
                  <c:v>Lowe's</c:v>
                </c:pt>
                <c:pt idx="54">
                  <c:v>Macy's</c:v>
                </c:pt>
                <c:pt idx="55">
                  <c:v>McDonald's</c:v>
                </c:pt>
                <c:pt idx="56">
                  <c:v>Meijer</c:v>
                </c:pt>
                <c:pt idx="57">
                  <c:v>Menards</c:v>
                </c:pt>
                <c:pt idx="58">
                  <c:v>Michaels Stores</c:v>
                </c:pt>
                <c:pt idx="59">
                  <c:v>Neiman Marcus</c:v>
                </c:pt>
                <c:pt idx="60">
                  <c:v>Nordstrom</c:v>
                </c:pt>
                <c:pt idx="61">
                  <c:v>Office Depot</c:v>
                </c:pt>
                <c:pt idx="62">
                  <c:v>OfficeMax</c:v>
                </c:pt>
                <c:pt idx="63">
                  <c:v>O'Reilly Automotive</c:v>
                </c:pt>
                <c:pt idx="64">
                  <c:v>PetSmart</c:v>
                </c:pt>
                <c:pt idx="65">
                  <c:v>Philips Health Mart Systems</c:v>
                </c:pt>
                <c:pt idx="66">
                  <c:v>Price Chopper Supermrkts</c:v>
                </c:pt>
                <c:pt idx="67">
                  <c:v>Publix</c:v>
                </c:pt>
                <c:pt idx="68">
                  <c:v>QVC</c:v>
                </c:pt>
                <c:pt idx="69">
                  <c:v>Rite Aid</c:v>
                </c:pt>
                <c:pt idx="70">
                  <c:v>Ross Stores</c:v>
                </c:pt>
                <c:pt idx="71">
                  <c:v>Roundy's Supermarkets (pick and save)</c:v>
                </c:pt>
                <c:pt idx="72">
                  <c:v>Safeway</c:v>
                </c:pt>
                <c:pt idx="73">
                  <c:v>Save Mart</c:v>
                </c:pt>
                <c:pt idx="74">
                  <c:v>Sears Holdings</c:v>
                </c:pt>
                <c:pt idx="75">
                  <c:v>Sherwin Williams</c:v>
                </c:pt>
                <c:pt idx="76">
                  <c:v>Signet Jewelers (Kay's)</c:v>
                </c:pt>
                <c:pt idx="77">
                  <c:v>Sonic</c:v>
                </c:pt>
                <c:pt idx="78">
                  <c:v>Staples</c:v>
                </c:pt>
                <c:pt idx="79">
                  <c:v>Starbucks</c:v>
                </c:pt>
                <c:pt idx="80">
                  <c:v>Stater Brothers. Supermarket</c:v>
                </c:pt>
                <c:pt idx="81">
                  <c:v>Subway</c:v>
                </c:pt>
                <c:pt idx="82">
                  <c:v>SUPERVALU</c:v>
                </c:pt>
                <c:pt idx="83">
                  <c:v>Target</c:v>
                </c:pt>
                <c:pt idx="84">
                  <c:v>The Home Depot</c:v>
                </c:pt>
                <c:pt idx="85">
                  <c:v>TJX</c:v>
                </c:pt>
                <c:pt idx="86">
                  <c:v>Toys "R" Us</c:v>
                </c:pt>
                <c:pt idx="87">
                  <c:v>Tractor Supply</c:v>
                </c:pt>
                <c:pt idx="88">
                  <c:v>Trader Joe's</c:v>
                </c:pt>
                <c:pt idx="89">
                  <c:v>True Value</c:v>
                </c:pt>
                <c:pt idx="90">
                  <c:v>Verizon Wireless</c:v>
                </c:pt>
                <c:pt idx="91">
                  <c:v>Wakefern / Shoprite</c:v>
                </c:pt>
                <c:pt idx="92">
                  <c:v>Walgreen</c:v>
                </c:pt>
                <c:pt idx="93">
                  <c:v>Wal-Mart</c:v>
                </c:pt>
                <c:pt idx="94">
                  <c:v>Wegmans Food Markets</c:v>
                </c:pt>
                <c:pt idx="95">
                  <c:v>Wendy's</c:v>
                </c:pt>
                <c:pt idx="96">
                  <c:v>Whole Foods</c:v>
                </c:pt>
                <c:pt idx="97">
                  <c:v>Williams-Sonoma</c:v>
                </c:pt>
                <c:pt idx="98">
                  <c:v>WinCo Foods</c:v>
                </c:pt>
                <c:pt idx="99">
                  <c:v>YUM! Brands</c:v>
                </c:pt>
              </c:strCache>
            </c:strRef>
          </c:cat>
          <c:val>
            <c:numRef>
              <c:f>Sheet6!$B$4:$B$104</c:f>
              <c:numCache>
                <c:formatCode>General</c:formatCode>
                <c:ptCount val="100"/>
                <c:pt idx="0">
                  <c:v>35</c:v>
                </c:pt>
                <c:pt idx="1">
                  <c:v>74</c:v>
                </c:pt>
                <c:pt idx="2">
                  <c:v>39</c:v>
                </c:pt>
                <c:pt idx="3">
                  <c:v>66</c:v>
                </c:pt>
                <c:pt idx="4">
                  <c:v>17</c:v>
                </c:pt>
                <c:pt idx="5">
                  <c:v>21</c:v>
                </c:pt>
                <c:pt idx="6">
                  <c:v>38</c:v>
                </c:pt>
                <c:pt idx="7">
                  <c:v>82</c:v>
                </c:pt>
                <c:pt idx="8">
                  <c:v>9</c:v>
                </c:pt>
                <c:pt idx="9">
                  <c:v>15</c:v>
                </c:pt>
                <c:pt idx="10">
                  <c:v>48</c:v>
                </c:pt>
                <c:pt idx="11">
                  <c:v>84</c:v>
                </c:pt>
                <c:pt idx="12">
                  <c:v>51</c:v>
                </c:pt>
                <c:pt idx="13">
                  <c:v>56</c:v>
                </c:pt>
                <c:pt idx="14">
                  <c:v>71</c:v>
                </c:pt>
                <c:pt idx="15">
                  <c:v>36</c:v>
                </c:pt>
                <c:pt idx="16">
                  <c:v>93</c:v>
                </c:pt>
                <c:pt idx="17">
                  <c:v>12</c:v>
                </c:pt>
                <c:pt idx="18">
                  <c:v>78</c:v>
                </c:pt>
                <c:pt idx="19">
                  <c:v>44</c:v>
                </c:pt>
                <c:pt idx="20">
                  <c:v>29</c:v>
                </c:pt>
                <c:pt idx="21">
                  <c:v>92</c:v>
                </c:pt>
                <c:pt idx="22">
                  <c:v>98</c:v>
                </c:pt>
                <c:pt idx="23">
                  <c:v>49</c:v>
                </c:pt>
                <c:pt idx="24">
                  <c:v>87</c:v>
                </c:pt>
                <c:pt idx="25">
                  <c:v>76</c:v>
                </c:pt>
                <c:pt idx="26">
                  <c:v>3</c:v>
                </c:pt>
                <c:pt idx="27">
                  <c:v>7</c:v>
                </c:pt>
                <c:pt idx="28">
                  <c:v>53</c:v>
                </c:pt>
                <c:pt idx="29">
                  <c:v>79</c:v>
                </c:pt>
                <c:pt idx="30">
                  <c:v>23</c:v>
                </c:pt>
                <c:pt idx="31">
                  <c:v>91</c:v>
                </c:pt>
                <c:pt idx="32">
                  <c:v>69</c:v>
                </c:pt>
                <c:pt idx="33">
                  <c:v>67</c:v>
                </c:pt>
                <c:pt idx="34">
                  <c:v>63</c:v>
                </c:pt>
                <c:pt idx="35">
                  <c:v>25</c:v>
                </c:pt>
                <c:pt idx="36">
                  <c:v>54</c:v>
                </c:pt>
                <c:pt idx="37">
                  <c:v>60</c:v>
                </c:pt>
                <c:pt idx="38">
                  <c:v>40</c:v>
                </c:pt>
                <c:pt idx="39">
                  <c:v>81</c:v>
                </c:pt>
                <c:pt idx="40">
                  <c:v>70</c:v>
                </c:pt>
                <c:pt idx="41">
                  <c:v>30</c:v>
                </c:pt>
                <c:pt idx="42">
                  <c:v>64</c:v>
                </c:pt>
                <c:pt idx="43">
                  <c:v>59</c:v>
                </c:pt>
                <c:pt idx="44">
                  <c:v>83</c:v>
                </c:pt>
                <c:pt idx="45">
                  <c:v>20</c:v>
                </c:pt>
                <c:pt idx="46">
                  <c:v>55</c:v>
                </c:pt>
                <c:pt idx="47">
                  <c:v>88</c:v>
                </c:pt>
                <c:pt idx="48">
                  <c:v>100</c:v>
                </c:pt>
                <c:pt idx="49">
                  <c:v>34</c:v>
                </c:pt>
                <c:pt idx="50">
                  <c:v>22</c:v>
                </c:pt>
                <c:pt idx="51">
                  <c:v>2</c:v>
                </c:pt>
                <c:pt idx="52">
                  <c:v>43</c:v>
                </c:pt>
                <c:pt idx="53">
                  <c:v>8</c:v>
                </c:pt>
                <c:pt idx="54">
                  <c:v>14</c:v>
                </c:pt>
                <c:pt idx="55">
                  <c:v>11</c:v>
                </c:pt>
                <c:pt idx="56">
                  <c:v>26</c:v>
                </c:pt>
                <c:pt idx="57">
                  <c:v>46</c:v>
                </c:pt>
                <c:pt idx="58">
                  <c:v>90</c:v>
                </c:pt>
                <c:pt idx="59">
                  <c:v>86</c:v>
                </c:pt>
                <c:pt idx="60">
                  <c:v>33</c:v>
                </c:pt>
                <c:pt idx="61">
                  <c:v>61</c:v>
                </c:pt>
                <c:pt idx="62">
                  <c:v>85</c:v>
                </c:pt>
                <c:pt idx="63">
                  <c:v>65</c:v>
                </c:pt>
                <c:pt idx="64">
                  <c:v>72</c:v>
                </c:pt>
                <c:pt idx="65">
                  <c:v>58</c:v>
                </c:pt>
                <c:pt idx="66">
                  <c:v>97</c:v>
                </c:pt>
                <c:pt idx="67">
                  <c:v>13</c:v>
                </c:pt>
                <c:pt idx="68">
                  <c:v>73</c:v>
                </c:pt>
                <c:pt idx="69">
                  <c:v>18</c:v>
                </c:pt>
                <c:pt idx="70">
                  <c:v>41</c:v>
                </c:pt>
                <c:pt idx="71">
                  <c:v>94</c:v>
                </c:pt>
                <c:pt idx="72">
                  <c:v>10</c:v>
                </c:pt>
                <c:pt idx="73">
                  <c:v>80</c:v>
                </c:pt>
                <c:pt idx="74">
                  <c:v>16</c:v>
                </c:pt>
                <c:pt idx="75">
                  <c:v>68</c:v>
                </c:pt>
                <c:pt idx="76">
                  <c:v>99</c:v>
                </c:pt>
                <c:pt idx="77">
                  <c:v>95</c:v>
                </c:pt>
                <c:pt idx="78">
                  <c:v>47</c:v>
                </c:pt>
                <c:pt idx="79">
                  <c:v>42</c:v>
                </c:pt>
                <c:pt idx="80">
                  <c:v>96</c:v>
                </c:pt>
                <c:pt idx="81">
                  <c:v>31</c:v>
                </c:pt>
                <c:pt idx="82">
                  <c:v>37</c:v>
                </c:pt>
                <c:pt idx="83">
                  <c:v>4</c:v>
                </c:pt>
                <c:pt idx="84">
                  <c:v>5</c:v>
                </c:pt>
                <c:pt idx="85">
                  <c:v>19</c:v>
                </c:pt>
                <c:pt idx="86">
                  <c:v>57</c:v>
                </c:pt>
                <c:pt idx="87">
                  <c:v>77</c:v>
                </c:pt>
                <c:pt idx="88">
                  <c:v>50</c:v>
                </c:pt>
                <c:pt idx="89">
                  <c:v>27</c:v>
                </c:pt>
                <c:pt idx="90">
                  <c:v>52</c:v>
                </c:pt>
                <c:pt idx="91">
                  <c:v>28</c:v>
                </c:pt>
                <c:pt idx="92">
                  <c:v>6</c:v>
                </c:pt>
                <c:pt idx="93">
                  <c:v>1</c:v>
                </c:pt>
                <c:pt idx="94">
                  <c:v>62</c:v>
                </c:pt>
                <c:pt idx="95">
                  <c:v>45</c:v>
                </c:pt>
                <c:pt idx="96">
                  <c:v>32</c:v>
                </c:pt>
                <c:pt idx="97">
                  <c:v>89</c:v>
                </c:pt>
                <c:pt idx="98">
                  <c:v>75</c:v>
                </c:pt>
                <c:pt idx="99">
                  <c:v>24</c:v>
                </c:pt>
              </c:numCache>
            </c:numRef>
          </c:val>
          <c:extLst xmlns:c16r2="http://schemas.microsoft.com/office/drawing/2015/06/chart">
            <c:ext xmlns:c16="http://schemas.microsoft.com/office/drawing/2014/chart" uri="{C3380CC4-5D6E-409C-BE32-E72D297353CC}">
              <c16:uniqueId val="{00000000-3E4F-4F17-90A1-0E15E4C62C0B}"/>
            </c:ext>
          </c:extLst>
        </c:ser>
        <c:dLbls>
          <c:showLegendKey val="0"/>
          <c:showVal val="0"/>
          <c:showCatName val="0"/>
          <c:showSerName val="0"/>
          <c:showPercent val="0"/>
          <c:showBubbleSize val="0"/>
        </c:dLbls>
        <c:gapWidth val="150"/>
        <c:shape val="box"/>
        <c:axId val="363811200"/>
        <c:axId val="363813120"/>
        <c:axId val="0"/>
      </c:bar3DChart>
      <c:catAx>
        <c:axId val="3638112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Retailer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813120"/>
        <c:crosses val="autoZero"/>
        <c:auto val="1"/>
        <c:lblAlgn val="ctr"/>
        <c:lblOffset val="100"/>
        <c:noMultiLvlLbl val="0"/>
      </c:catAx>
      <c:valAx>
        <c:axId val="363813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Rank</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811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[_15227f1019e607942a374682381ca324_crp_cleandata (4).xlsx]Sheet7!PivotTable7</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Industry Type Profit</a:t>
            </a:r>
          </a:p>
        </c:rich>
      </c:tx>
      <c:overlay val="0"/>
      <c:spPr>
        <a:noFill/>
        <a:ln>
          <a:noFill/>
        </a:ln>
        <a:effectLst/>
      </c:spPr>
    </c:title>
    <c:autoTitleDeleted val="0"/>
    <c:pivotFmts>
      <c:pivotFmt>
        <c:idx val="0"/>
        <c:spPr>
          <a:solidFill>
            <a:schemeClr val="accent1"/>
          </a:solidFill>
          <a:ln w="19050">
            <a:solidFill>
              <a:schemeClr val="lt1"/>
            </a:solidFill>
          </a:ln>
          <a:effectLst/>
        </c:spPr>
        <c:marker>
          <c:symbol val="none"/>
        </c:marker>
      </c:pivotFmt>
      <c:pivotFmt>
        <c:idx val="1"/>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extLst xmlns:c16r2="http://schemas.microsoft.com/office/drawing/2015/06/chart">
            <c:ext xmlns:c15="http://schemas.microsoft.com/office/drawing/2012/chart" uri="{CE6537A1-D6FC-4f65-9D91-7224C49458BB}"/>
          </c:extLst>
        </c:dLbl>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extLst xmlns:c16r2="http://schemas.microsoft.com/office/drawing/2015/06/chart">
            <c:ext xmlns:c15="http://schemas.microsoft.com/office/drawing/2012/chart" uri="{CE6537A1-D6FC-4f65-9D91-7224C49458BB}"/>
          </c:extLst>
        </c:dLbl>
      </c:pivotFmt>
      <c:pivotFmt>
        <c:idx val="8"/>
        <c:spPr>
          <a:solidFill>
            <a:schemeClr val="accent1"/>
          </a:solidFill>
          <a:ln w="19050">
            <a:solidFill>
              <a:schemeClr val="lt1"/>
            </a:solidFill>
          </a:ln>
          <a:effectLst/>
        </c:spPr>
      </c:pivotFmt>
      <c:pivotFmt>
        <c:idx val="9"/>
        <c:spPr>
          <a:solidFill>
            <a:schemeClr val="accent1"/>
          </a:solidFill>
          <a:ln w="19050">
            <a:solidFill>
              <a:schemeClr val="lt1"/>
            </a:solidFill>
          </a:ln>
          <a:effectLst/>
        </c:spPr>
      </c:pivotFmt>
      <c:pivotFmt>
        <c:idx val="10"/>
        <c:spPr>
          <a:solidFill>
            <a:schemeClr val="accent1"/>
          </a:solidFill>
          <a:ln w="19050">
            <a:solidFill>
              <a:schemeClr val="lt1"/>
            </a:solidFill>
          </a:ln>
          <a:effectLst/>
        </c:spPr>
      </c:pivotFmt>
      <c:pivotFmt>
        <c:idx val="11"/>
        <c:spPr>
          <a:solidFill>
            <a:schemeClr val="accent1"/>
          </a:solidFill>
          <a:ln w="19050">
            <a:solidFill>
              <a:schemeClr val="lt1"/>
            </a:solidFill>
          </a:ln>
          <a:effectLst/>
        </c:spPr>
      </c:pivotFmt>
      <c:pivotFmt>
        <c:idx val="12"/>
        <c:spPr>
          <a:solidFill>
            <a:schemeClr val="accent1"/>
          </a:solidFill>
          <a:ln w="19050">
            <a:solidFill>
              <a:schemeClr val="lt1"/>
            </a:solidFill>
          </a:ln>
          <a:effectLst/>
        </c:spPr>
      </c:pivotFmt>
      <c:pivotFmt>
        <c:idx val="1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extLst xmlns:c16r2="http://schemas.microsoft.com/office/drawing/2015/06/chart">
            <c:ext xmlns:c15="http://schemas.microsoft.com/office/drawing/2012/chart" uri="{CE6537A1-D6FC-4f65-9D91-7224C49458BB}"/>
          </c:extLst>
        </c:dLbl>
      </c:pivotFmt>
      <c:pivotFmt>
        <c:idx val="14"/>
        <c:spPr>
          <a:solidFill>
            <a:schemeClr val="accent1"/>
          </a:solidFill>
          <a:ln w="19050">
            <a:solidFill>
              <a:schemeClr val="lt1"/>
            </a:solidFill>
          </a:ln>
          <a:effectLst/>
        </c:spPr>
      </c:pivotFmt>
      <c:pivotFmt>
        <c:idx val="15"/>
        <c:spPr>
          <a:solidFill>
            <a:schemeClr val="accent1"/>
          </a:solidFill>
          <a:ln w="19050">
            <a:solidFill>
              <a:schemeClr val="lt1"/>
            </a:solidFill>
          </a:ln>
          <a:effectLst/>
        </c:spPr>
      </c:pivotFmt>
      <c:pivotFmt>
        <c:idx val="16"/>
        <c:spPr>
          <a:solidFill>
            <a:schemeClr val="accent1"/>
          </a:solidFill>
          <a:ln w="19050">
            <a:solidFill>
              <a:schemeClr val="lt1"/>
            </a:solidFill>
          </a:ln>
          <a:effectLst/>
        </c:spPr>
      </c:pivotFmt>
      <c:pivotFmt>
        <c:idx val="17"/>
        <c:spPr>
          <a:solidFill>
            <a:schemeClr val="accent1"/>
          </a:solidFill>
          <a:ln w="19050">
            <a:solidFill>
              <a:schemeClr val="lt1"/>
            </a:solidFill>
          </a:ln>
          <a:effectLst/>
        </c:spPr>
      </c:pivotFmt>
      <c:pivotFmt>
        <c:idx val="18"/>
        <c:spPr>
          <a:solidFill>
            <a:schemeClr val="accent1"/>
          </a:solidFill>
          <a:ln w="19050">
            <a:solidFill>
              <a:schemeClr val="lt1"/>
            </a:solidFill>
          </a:ln>
          <a:effectLst/>
        </c:spPr>
      </c:pivotFmt>
    </c:pivotFmts>
    <c:plotArea>
      <c:layout/>
      <c:pieChart>
        <c:varyColors val="1"/>
        <c:ser>
          <c:idx val="0"/>
          <c:order val="0"/>
          <c:tx>
            <c:strRef>
              <c:f>Sheet7!$B$3</c:f>
              <c:strCache>
                <c:ptCount val="1"/>
                <c:pt idx="0">
                  <c:v>Total</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8CE-4F11-8796-8ED5CB70CE9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8CE-4F11-8796-8ED5CB70CE9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8CE-4F11-8796-8ED5CB70CE9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8CE-4F11-8796-8ED5CB70CE9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8CE-4F11-8796-8ED5CB70CE9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Sheet7!$A$4:$A$9</c:f>
              <c:strCache>
                <c:ptCount val="5"/>
                <c:pt idx="0">
                  <c:v>Department</c:v>
                </c:pt>
                <c:pt idx="1">
                  <c:v>Discount</c:v>
                </c:pt>
                <c:pt idx="2">
                  <c:v>Grocery</c:v>
                </c:pt>
                <c:pt idx="3">
                  <c:v>Restaurants</c:v>
                </c:pt>
                <c:pt idx="4">
                  <c:v>Specialty</c:v>
                </c:pt>
              </c:strCache>
            </c:strRef>
          </c:cat>
          <c:val>
            <c:numRef>
              <c:f>Sheet7!$B$4:$B$9</c:f>
              <c:numCache>
                <c:formatCode>"$"#,##0.00</c:formatCode>
                <c:ptCount val="5"/>
                <c:pt idx="0">
                  <c:v>346.72</c:v>
                </c:pt>
                <c:pt idx="1">
                  <c:v>619.18000000000018</c:v>
                </c:pt>
                <c:pt idx="2">
                  <c:v>986.60000000000014</c:v>
                </c:pt>
                <c:pt idx="3">
                  <c:v>484.17999999999995</c:v>
                </c:pt>
                <c:pt idx="4">
                  <c:v>2090.6200000000008</c:v>
                </c:pt>
              </c:numCache>
            </c:numRef>
          </c:val>
          <c:extLst xmlns:c16r2="http://schemas.microsoft.com/office/drawing/2015/06/chart">
            <c:ext xmlns:c16="http://schemas.microsoft.com/office/drawing/2014/chart" uri="{C3380CC4-5D6E-409C-BE32-E72D297353CC}">
              <c16:uniqueId val="{0000000A-C8CE-4F11-8796-8ED5CB70CE9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[_15227f1019e607942a374682381ca324_crp_cleandata (4).xlsx]Sheet9!PivotTable10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Store</a:t>
            </a:r>
            <a:r>
              <a:rPr lang="en-US" baseline="0"/>
              <a:t> Number for Each Retailer </a:t>
            </a:r>
            <a:endParaRPr lang="en-US"/>
          </a:p>
        </c:rich>
      </c:tx>
      <c:overlay val="0"/>
      <c:spPr>
        <a:noFill/>
        <a:ln>
          <a:noFill/>
        </a:ln>
        <a:effectLst/>
      </c:sp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3"/>
        <c:spPr>
          <a:solidFill>
            <a:schemeClr val="accent1"/>
          </a:solidFill>
          <a:ln>
            <a:noFill/>
          </a:ln>
          <a:effectLst/>
        </c:spPr>
        <c:marker>
          <c:symbol val="none"/>
        </c:marker>
        <c:dLbl>
          <c:idx val="0"/>
          <c:delete val="1"/>
          <c:extLst xmlns:c16r2="http://schemas.microsoft.com/office/drawing/2015/06/chart">
            <c:ext xmlns:c15="http://schemas.microsoft.com/office/drawing/2012/chart" uri="{CE6537A1-D6FC-4f65-9D91-7224C49458BB}"/>
          </c:extLst>
        </c:dLbl>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s>
    <c:plotArea>
      <c:layout/>
      <c:barChart>
        <c:barDir val="col"/>
        <c:grouping val="clustered"/>
        <c:varyColors val="0"/>
        <c:ser>
          <c:idx val="0"/>
          <c:order val="0"/>
          <c:tx>
            <c:strRef>
              <c:f>Sheet9!$B$3:$B$4</c:f>
              <c:strCache>
                <c:ptCount val="1"/>
                <c:pt idx="0">
                  <c:v>0</c:v>
                </c:pt>
              </c:strCache>
            </c:strRef>
          </c:tx>
          <c:spPr>
            <a:solidFill>
              <a:schemeClr val="accent1"/>
            </a:solidFill>
            <a:ln>
              <a:noFill/>
            </a:ln>
            <a:effectLst/>
          </c:spPr>
          <c:invertIfNegative val="0"/>
          <c:cat>
            <c:multiLvlStrRef>
              <c:f>Sheet9!$A$5:$A$27</c:f>
              <c:multiLvlStrCache>
                <c:ptCount val="17"/>
                <c:lvl>
                  <c:pt idx="0">
                    <c:v>Department Stores</c:v>
                  </c:pt>
                  <c:pt idx="1">
                    <c:v>Discount, Variety Stores</c:v>
                  </c:pt>
                  <c:pt idx="2">
                    <c:v>Grocery Stores</c:v>
                  </c:pt>
                  <c:pt idx="3">
                    <c:v>Restaurants</c:v>
                  </c:pt>
                  <c:pt idx="4">
                    <c:v>Apparel Stores</c:v>
                  </c:pt>
                  <c:pt idx="5">
                    <c:v>Auto Parts Stores</c:v>
                  </c:pt>
                  <c:pt idx="6">
                    <c:v>Catalog &amp; Mail Order Houses</c:v>
                  </c:pt>
                  <c:pt idx="7">
                    <c:v>Drug Stores</c:v>
                  </c:pt>
                  <c:pt idx="8">
                    <c:v>ElectronicEquipment</c:v>
                  </c:pt>
                  <c:pt idx="9">
                    <c:v>Electronics Stores</c:v>
                  </c:pt>
                  <c:pt idx="10">
                    <c:v>Home Furnishing Stores</c:v>
                  </c:pt>
                  <c:pt idx="11">
                    <c:v>Home Improvement Stores</c:v>
                  </c:pt>
                  <c:pt idx="12">
                    <c:v>Specialty Chemicals</c:v>
                  </c:pt>
                  <c:pt idx="13">
                    <c:v>Specialty Retail, Other</c:v>
                  </c:pt>
                  <c:pt idx="14">
                    <c:v>Sporting Goods Stores</c:v>
                  </c:pt>
                  <c:pt idx="15">
                    <c:v>Telecom Services - Domestic</c:v>
                  </c:pt>
                  <c:pt idx="16">
                    <c:v>Textile - Apparel Footwear &amp; Accessories</c:v>
                  </c:pt>
                </c:lvl>
                <c:lvl>
                  <c:pt idx="0">
                    <c:v>Department</c:v>
                  </c:pt>
                  <c:pt idx="1">
                    <c:v>Discount</c:v>
                  </c:pt>
                  <c:pt idx="2">
                    <c:v>Grocery</c:v>
                  </c:pt>
                  <c:pt idx="3">
                    <c:v>Restaurants</c:v>
                  </c:pt>
                  <c:pt idx="4">
                    <c:v>Specialty</c:v>
                  </c:pt>
                </c:lvl>
              </c:multiLvlStrCache>
            </c:multiLvlStrRef>
          </c:cat>
          <c:val>
            <c:numRef>
              <c:f>Sheet9!$B$5:$B$27</c:f>
              <c:numCache>
                <c:formatCode>0</c:formatCode>
                <c:ptCount val="17"/>
                <c:pt idx="0">
                  <c:v>0.83699999999999997</c:v>
                </c:pt>
                <c:pt idx="1">
                  <c:v>34.597000000000001</c:v>
                </c:pt>
                <c:pt idx="2">
                  <c:v>9.0990000000000002</c:v>
                </c:pt>
                <c:pt idx="3">
                  <c:v>54.423000000000002</c:v>
                </c:pt>
                <c:pt idx="4">
                  <c:v>1.276</c:v>
                </c:pt>
                <c:pt idx="7">
                  <c:v>3.1989999999999998</c:v>
                </c:pt>
                <c:pt idx="8">
                  <c:v>0.254</c:v>
                </c:pt>
                <c:pt idx="10">
                  <c:v>1.4530000000000001</c:v>
                </c:pt>
                <c:pt idx="11">
                  <c:v>1.7170000000000001</c:v>
                </c:pt>
                <c:pt idx="12">
                  <c:v>3.6850000000000001</c:v>
                </c:pt>
                <c:pt idx="13">
                  <c:v>7.6620000000000008</c:v>
                </c:pt>
                <c:pt idx="15">
                  <c:v>4.0990000000000002</c:v>
                </c:pt>
              </c:numCache>
            </c:numRef>
          </c:val>
          <c:extLst xmlns:c16r2="http://schemas.microsoft.com/office/drawing/2015/06/chart">
            <c:ext xmlns:c16="http://schemas.microsoft.com/office/drawing/2014/chart" uri="{C3380CC4-5D6E-409C-BE32-E72D297353CC}">
              <c16:uniqueId val="{00000000-C957-4454-BA4F-DB54C6843B38}"/>
            </c:ext>
          </c:extLst>
        </c:ser>
        <c:ser>
          <c:idx val="1"/>
          <c:order val="1"/>
          <c:tx>
            <c:strRef>
              <c:f>Sheet9!$C$3:$C$4</c:f>
              <c:strCache>
                <c:ptCount val="1"/>
                <c:pt idx="0">
                  <c:v>1</c:v>
                </c:pt>
              </c:strCache>
            </c:strRef>
          </c:tx>
          <c:spPr>
            <a:solidFill>
              <a:schemeClr val="accent2"/>
            </a:solidFill>
            <a:ln>
              <a:noFill/>
            </a:ln>
            <a:effectLst/>
          </c:spPr>
          <c:invertIfNegative val="0"/>
          <c:cat>
            <c:multiLvlStrRef>
              <c:f>Sheet9!$A$5:$A$27</c:f>
              <c:multiLvlStrCache>
                <c:ptCount val="17"/>
                <c:lvl>
                  <c:pt idx="0">
                    <c:v>Department Stores</c:v>
                  </c:pt>
                  <c:pt idx="1">
                    <c:v>Discount, Variety Stores</c:v>
                  </c:pt>
                  <c:pt idx="2">
                    <c:v>Grocery Stores</c:v>
                  </c:pt>
                  <c:pt idx="3">
                    <c:v>Restaurants</c:v>
                  </c:pt>
                  <c:pt idx="4">
                    <c:v>Apparel Stores</c:v>
                  </c:pt>
                  <c:pt idx="5">
                    <c:v>Auto Parts Stores</c:v>
                  </c:pt>
                  <c:pt idx="6">
                    <c:v>Catalog &amp; Mail Order Houses</c:v>
                  </c:pt>
                  <c:pt idx="7">
                    <c:v>Drug Stores</c:v>
                  </c:pt>
                  <c:pt idx="8">
                    <c:v>ElectronicEquipment</c:v>
                  </c:pt>
                  <c:pt idx="9">
                    <c:v>Electronics Stores</c:v>
                  </c:pt>
                  <c:pt idx="10">
                    <c:v>Home Furnishing Stores</c:v>
                  </c:pt>
                  <c:pt idx="11">
                    <c:v>Home Improvement Stores</c:v>
                  </c:pt>
                  <c:pt idx="12">
                    <c:v>Specialty Chemicals</c:v>
                  </c:pt>
                  <c:pt idx="13">
                    <c:v>Specialty Retail, Other</c:v>
                  </c:pt>
                  <c:pt idx="14">
                    <c:v>Sporting Goods Stores</c:v>
                  </c:pt>
                  <c:pt idx="15">
                    <c:v>Telecom Services - Domestic</c:v>
                  </c:pt>
                  <c:pt idx="16">
                    <c:v>Textile - Apparel Footwear &amp; Accessories</c:v>
                  </c:pt>
                </c:lvl>
                <c:lvl>
                  <c:pt idx="0">
                    <c:v>Department</c:v>
                  </c:pt>
                  <c:pt idx="1">
                    <c:v>Discount</c:v>
                  </c:pt>
                  <c:pt idx="2">
                    <c:v>Grocery</c:v>
                  </c:pt>
                  <c:pt idx="3">
                    <c:v>Restaurants</c:v>
                  </c:pt>
                  <c:pt idx="4">
                    <c:v>Specialty</c:v>
                  </c:pt>
                </c:lvl>
              </c:multiLvlStrCache>
            </c:multiLvlStrRef>
          </c:cat>
          <c:val>
            <c:numRef>
              <c:f>Sheet9!$C$5:$C$27</c:f>
              <c:numCache>
                <c:formatCode>0</c:formatCode>
                <c:ptCount val="17"/>
                <c:pt idx="0">
                  <c:v>7.2840000000000007</c:v>
                </c:pt>
                <c:pt idx="1">
                  <c:v>9.6539999999999999</c:v>
                </c:pt>
                <c:pt idx="2">
                  <c:v>8.3149999999999995</c:v>
                </c:pt>
                <c:pt idx="3">
                  <c:v>52.673000000000002</c:v>
                </c:pt>
                <c:pt idx="4">
                  <c:v>9.1939999999999991</c:v>
                </c:pt>
                <c:pt idx="5">
                  <c:v>12.991</c:v>
                </c:pt>
                <c:pt idx="6">
                  <c:v>0</c:v>
                </c:pt>
                <c:pt idx="7">
                  <c:v>20.206</c:v>
                </c:pt>
                <c:pt idx="9">
                  <c:v>5.7640000000000002</c:v>
                </c:pt>
                <c:pt idx="10">
                  <c:v>0.55300000000000005</c:v>
                </c:pt>
                <c:pt idx="11">
                  <c:v>10.914</c:v>
                </c:pt>
                <c:pt idx="13">
                  <c:v>7.0229999999999997</c:v>
                </c:pt>
                <c:pt idx="14">
                  <c:v>0.64400000000000002</c:v>
                </c:pt>
                <c:pt idx="16">
                  <c:v>2.36</c:v>
                </c:pt>
              </c:numCache>
            </c:numRef>
          </c:val>
          <c:extLst xmlns:c16r2="http://schemas.microsoft.com/office/drawing/2015/06/chart">
            <c:ext xmlns:c16="http://schemas.microsoft.com/office/drawing/2014/chart" uri="{C3380CC4-5D6E-409C-BE32-E72D297353CC}">
              <c16:uniqueId val="{00000001-C957-4454-BA4F-DB54C6843B38}"/>
            </c:ext>
          </c:extLst>
        </c:ser>
        <c:dLbls>
          <c:showLegendKey val="0"/>
          <c:showVal val="0"/>
          <c:showCatName val="0"/>
          <c:showSerName val="0"/>
          <c:showPercent val="0"/>
          <c:showBubbleSize val="0"/>
        </c:dLbls>
        <c:gapWidth val="219"/>
        <c:overlap val="-27"/>
        <c:axId val="370356608"/>
        <c:axId val="370358528"/>
      </c:barChart>
      <c:catAx>
        <c:axId val="370356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Retailer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358528"/>
        <c:crosses val="autoZero"/>
        <c:auto val="1"/>
        <c:lblAlgn val="ctr"/>
        <c:lblOffset val="100"/>
        <c:noMultiLvlLbl val="0"/>
      </c:catAx>
      <c:valAx>
        <c:axId val="370358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Store Number</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03566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7</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AGRO</dc:creator>
  <cp:keywords/>
  <dc:description/>
  <cp:lastModifiedBy>Kamande</cp:lastModifiedBy>
  <cp:revision>3</cp:revision>
  <dcterms:created xsi:type="dcterms:W3CDTF">2020-09-12T00:47:00Z</dcterms:created>
  <dcterms:modified xsi:type="dcterms:W3CDTF">2020-09-13T04:57:00Z</dcterms:modified>
</cp:coreProperties>
</file>